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EE4EF" w14:textId="77777777" w:rsidR="00A10D8A" w:rsidRPr="00630CE0" w:rsidRDefault="00A10D8A" w:rsidP="00E3546F">
      <w:pPr>
        <w:shd w:val="clear" w:color="auto" w:fill="FFFFFF"/>
        <w:spacing w:after="0" w:line="240" w:lineRule="auto"/>
        <w:jc w:val="both"/>
        <w:rPr>
          <w:rFonts w:eastAsia="Times New Roman"/>
          <w:b/>
          <w:bCs/>
          <w:kern w:val="0"/>
          <w14:ligatures w14:val="none"/>
        </w:rPr>
      </w:pPr>
    </w:p>
    <w:p w14:paraId="4338BA33" w14:textId="0C17B37B" w:rsidR="00A10D8A" w:rsidRPr="00630CE0" w:rsidRDefault="00E3546F" w:rsidP="00E3546F">
      <w:pPr>
        <w:pStyle w:val="NormalWeb"/>
        <w:shd w:val="clear" w:color="auto" w:fill="FFFFFF"/>
        <w:spacing w:before="0" w:beforeAutospacing="0" w:after="0" w:afterAutospacing="0"/>
        <w:jc w:val="center"/>
        <w:rPr>
          <w:rFonts w:ascii="Calibri" w:hAnsi="Calibri" w:cs="Calibri"/>
          <w:b/>
          <w:bCs/>
          <w:sz w:val="32"/>
          <w:szCs w:val="32"/>
        </w:rPr>
      </w:pPr>
      <w:r w:rsidRPr="00630CE0">
        <w:rPr>
          <w:rFonts w:ascii="Calibri" w:hAnsi="Calibri" w:cs="Calibri"/>
          <w:b/>
          <w:bCs/>
          <w:sz w:val="32"/>
          <w:szCs w:val="32"/>
        </w:rPr>
        <w:t>SUBPOENA INSTRUCTIONS</w:t>
      </w:r>
    </w:p>
    <w:p w14:paraId="02EAC70A" w14:textId="6A8DE0AB" w:rsidR="004C1C8F" w:rsidRPr="00630CE0" w:rsidRDefault="004C1C8F" w:rsidP="00E3546F">
      <w:pPr>
        <w:pStyle w:val="NormalWeb"/>
        <w:shd w:val="clear" w:color="auto" w:fill="FFFFFF"/>
        <w:spacing w:before="0" w:beforeAutospacing="0" w:after="0" w:afterAutospacing="0"/>
        <w:jc w:val="center"/>
        <w:rPr>
          <w:rFonts w:ascii="Calibri" w:hAnsi="Calibri" w:cs="Calibri"/>
          <w:b/>
          <w:bCs/>
          <w:sz w:val="22"/>
          <w:szCs w:val="22"/>
        </w:rPr>
      </w:pPr>
      <w:r w:rsidRPr="00630CE0">
        <w:rPr>
          <w:rFonts w:ascii="Calibri" w:hAnsi="Calibri" w:cs="Calibri"/>
          <w:b/>
          <w:bCs/>
          <w:sz w:val="22"/>
          <w:szCs w:val="22"/>
        </w:rPr>
        <w:t>Per LA SCS Rule 13:21</w:t>
      </w:r>
      <w:r w:rsidR="00D51C83" w:rsidRPr="00630CE0">
        <w:rPr>
          <w:rFonts w:ascii="Calibri" w:hAnsi="Calibri" w:cs="Calibri"/>
          <w:b/>
          <w:bCs/>
          <w:sz w:val="22"/>
          <w:szCs w:val="22"/>
        </w:rPr>
        <w:t xml:space="preserve"> (see below)</w:t>
      </w:r>
    </w:p>
    <w:p w14:paraId="6D30A607" w14:textId="75EF6F80" w:rsidR="004C1C8F" w:rsidRPr="00630CE0" w:rsidRDefault="00E3546F" w:rsidP="00E3546F">
      <w:pPr>
        <w:pStyle w:val="NormalWeb"/>
        <w:shd w:val="clear" w:color="auto" w:fill="FFFFFF"/>
        <w:spacing w:before="0" w:beforeAutospacing="0" w:after="0" w:afterAutospacing="0"/>
        <w:jc w:val="center"/>
        <w:rPr>
          <w:rFonts w:ascii="Calibri" w:hAnsi="Calibri" w:cs="Calibri"/>
          <w:b/>
          <w:bCs/>
          <w:sz w:val="22"/>
          <w:szCs w:val="22"/>
        </w:rPr>
      </w:pPr>
      <w:hyperlink r:id="rId6" w:history="1">
        <w:r w:rsidRPr="00630CE0">
          <w:rPr>
            <w:rStyle w:val="Hyperlink"/>
            <w:rFonts w:ascii="Calibri" w:hAnsi="Calibri" w:cs="Calibri"/>
            <w:b/>
            <w:bCs/>
            <w:color w:val="auto"/>
            <w:sz w:val="22"/>
            <w:szCs w:val="22"/>
          </w:rPr>
          <w:t>https://civilservice.louisiana.gov/CSRules/Chapter13.aspx</w:t>
        </w:r>
      </w:hyperlink>
    </w:p>
    <w:p w14:paraId="18122C57" w14:textId="5638160A" w:rsidR="00E3546F" w:rsidRPr="00630CE0" w:rsidRDefault="00E3546F" w:rsidP="00E3546F">
      <w:pPr>
        <w:pStyle w:val="NormalWeb"/>
        <w:shd w:val="clear" w:color="auto" w:fill="FFFFFF"/>
        <w:spacing w:before="0" w:beforeAutospacing="0" w:after="0" w:afterAutospacing="0"/>
        <w:jc w:val="center"/>
        <w:rPr>
          <w:rFonts w:ascii="Calibri" w:hAnsi="Calibri" w:cs="Calibri"/>
          <w:b/>
          <w:bCs/>
          <w:sz w:val="22"/>
          <w:szCs w:val="22"/>
        </w:rPr>
      </w:pPr>
      <w:r w:rsidRPr="00630CE0">
        <w:rPr>
          <w:rFonts w:ascii="Calibri" w:hAnsi="Calibri" w:cs="Calibri"/>
          <w:b/>
          <w:bCs/>
          <w:sz w:val="22"/>
          <w:szCs w:val="22"/>
        </w:rPr>
        <w:t>________________________________________________________________________________</w:t>
      </w:r>
    </w:p>
    <w:p w14:paraId="7883AB0B" w14:textId="77777777" w:rsidR="004C1C8F" w:rsidRPr="00630CE0" w:rsidRDefault="004C1C8F" w:rsidP="00E3546F">
      <w:pPr>
        <w:pStyle w:val="NormalWeb"/>
        <w:shd w:val="clear" w:color="auto" w:fill="FFFFFF"/>
        <w:spacing w:before="0" w:beforeAutospacing="0" w:after="0" w:afterAutospacing="0"/>
        <w:jc w:val="both"/>
        <w:rPr>
          <w:rFonts w:ascii="Calibri" w:hAnsi="Calibri" w:cs="Calibri"/>
          <w:sz w:val="22"/>
          <w:szCs w:val="22"/>
        </w:rPr>
      </w:pPr>
    </w:p>
    <w:p w14:paraId="0C36C182" w14:textId="777FF67D" w:rsidR="00E35796" w:rsidRPr="00D20AF9" w:rsidRDefault="00A10D8A" w:rsidP="00E3546F">
      <w:pPr>
        <w:pStyle w:val="NormalWeb"/>
        <w:shd w:val="clear" w:color="auto" w:fill="FFFFFF"/>
        <w:spacing w:before="0" w:beforeAutospacing="0" w:after="0" w:afterAutospacing="0"/>
        <w:jc w:val="both"/>
        <w:rPr>
          <w:rFonts w:ascii="Calibri" w:hAnsi="Calibri" w:cs="Calibri"/>
          <w:sz w:val="22"/>
          <w:szCs w:val="22"/>
        </w:rPr>
      </w:pPr>
      <w:r w:rsidRPr="00D20AF9">
        <w:rPr>
          <w:rFonts w:ascii="Calibri" w:hAnsi="Calibri" w:cs="Calibri"/>
          <w:sz w:val="22"/>
          <w:szCs w:val="22"/>
        </w:rPr>
        <w:t>Any person within the state</w:t>
      </w:r>
      <w:r w:rsidR="00EE2476">
        <w:rPr>
          <w:rFonts w:ascii="Calibri" w:hAnsi="Calibri" w:cs="Calibri"/>
          <w:sz w:val="22"/>
          <w:szCs w:val="22"/>
        </w:rPr>
        <w:t xml:space="preserve"> of Louisiana</w:t>
      </w:r>
      <w:r w:rsidRPr="00D20AF9">
        <w:rPr>
          <w:rFonts w:ascii="Calibri" w:hAnsi="Calibri" w:cs="Calibri"/>
          <w:sz w:val="22"/>
          <w:szCs w:val="22"/>
        </w:rPr>
        <w:t xml:space="preserve"> can be ordered to appear at an appeal hearing to testify and/or to produce documents. </w:t>
      </w:r>
      <w:r w:rsidR="0074744F" w:rsidRPr="00D20AF9">
        <w:rPr>
          <w:rFonts w:ascii="Calibri" w:hAnsi="Calibri" w:cs="Calibri"/>
          <w:sz w:val="22"/>
          <w:szCs w:val="22"/>
        </w:rPr>
        <w:t xml:space="preserve">You may obtain a copy of the subpoena request form at the LA SCS Appeals </w:t>
      </w:r>
      <w:r w:rsidR="00D20AF9">
        <w:rPr>
          <w:rFonts w:ascii="Calibri" w:hAnsi="Calibri" w:cs="Calibri"/>
          <w:sz w:val="22"/>
          <w:szCs w:val="22"/>
        </w:rPr>
        <w:t>web</w:t>
      </w:r>
      <w:r w:rsidR="0074744F" w:rsidRPr="00D20AF9">
        <w:rPr>
          <w:rFonts w:ascii="Calibri" w:hAnsi="Calibri" w:cs="Calibri"/>
          <w:sz w:val="22"/>
          <w:szCs w:val="22"/>
        </w:rPr>
        <w:t xml:space="preserve">site </w:t>
      </w:r>
      <w:r w:rsidR="002B4936">
        <w:rPr>
          <w:rFonts w:ascii="Calibri" w:hAnsi="Calibri" w:cs="Calibri"/>
          <w:sz w:val="22"/>
          <w:szCs w:val="22"/>
        </w:rPr>
        <w:t>-</w:t>
      </w:r>
      <w:r w:rsidR="0074744F" w:rsidRPr="00D20AF9">
        <w:rPr>
          <w:rFonts w:ascii="Calibri" w:hAnsi="Calibri" w:cs="Calibri"/>
          <w:sz w:val="22"/>
          <w:szCs w:val="22"/>
        </w:rPr>
        <w:t xml:space="preserve"> </w:t>
      </w:r>
      <w:hyperlink r:id="rId7" w:history="1">
        <w:r w:rsidR="00E35796" w:rsidRPr="00D20AF9">
          <w:rPr>
            <w:rStyle w:val="Hyperlink"/>
            <w:rFonts w:ascii="Calibri" w:hAnsi="Calibri" w:cs="Calibri"/>
            <w:color w:val="auto"/>
            <w:sz w:val="22"/>
            <w:szCs w:val="22"/>
          </w:rPr>
          <w:t>https://civilservice.louisiana.gov/Divisions/Appeals/DocsAndForms.aspx</w:t>
        </w:r>
      </w:hyperlink>
      <w:r w:rsidR="00E35796" w:rsidRPr="00D20AF9">
        <w:rPr>
          <w:rFonts w:ascii="Calibri" w:hAnsi="Calibri" w:cs="Calibri"/>
          <w:sz w:val="22"/>
          <w:szCs w:val="22"/>
        </w:rPr>
        <w:t xml:space="preserve">. </w:t>
      </w:r>
      <w:r w:rsidR="002B4936">
        <w:rPr>
          <w:rFonts w:ascii="Calibri" w:hAnsi="Calibri" w:cs="Calibri"/>
          <w:sz w:val="22"/>
          <w:szCs w:val="22"/>
        </w:rPr>
        <w:t>S</w:t>
      </w:r>
      <w:r w:rsidR="008439BC" w:rsidRPr="00D20AF9">
        <w:rPr>
          <w:rFonts w:ascii="Calibri" w:hAnsi="Calibri" w:cs="Calibri"/>
          <w:sz w:val="22"/>
          <w:szCs w:val="22"/>
        </w:rPr>
        <w:t>ubpoena request</w:t>
      </w:r>
      <w:r w:rsidR="002B4936">
        <w:rPr>
          <w:rFonts w:ascii="Calibri" w:hAnsi="Calibri" w:cs="Calibri"/>
          <w:sz w:val="22"/>
          <w:szCs w:val="22"/>
        </w:rPr>
        <w:t>s</w:t>
      </w:r>
      <w:r w:rsidR="008439BC" w:rsidRPr="00D20AF9">
        <w:rPr>
          <w:rFonts w:ascii="Calibri" w:hAnsi="Calibri" w:cs="Calibri"/>
          <w:sz w:val="22"/>
          <w:szCs w:val="22"/>
        </w:rPr>
        <w:t xml:space="preserve"> can be emailed to </w:t>
      </w:r>
      <w:hyperlink r:id="rId8" w:history="1">
        <w:r w:rsidR="00401332" w:rsidRPr="00D20AF9">
          <w:rPr>
            <w:rStyle w:val="Hyperlink"/>
            <w:rFonts w:ascii="Calibri" w:hAnsi="Calibri" w:cs="Calibri"/>
            <w:color w:val="auto"/>
            <w:sz w:val="22"/>
            <w:szCs w:val="22"/>
          </w:rPr>
          <w:t>scs-appeals@civilservice.la.gov</w:t>
        </w:r>
      </w:hyperlink>
      <w:r w:rsidR="00401332" w:rsidRPr="00D20AF9">
        <w:rPr>
          <w:rFonts w:ascii="Calibri" w:hAnsi="Calibri" w:cs="Calibri"/>
          <w:sz w:val="22"/>
          <w:szCs w:val="22"/>
        </w:rPr>
        <w:t xml:space="preserve">; </w:t>
      </w:r>
      <w:r w:rsidR="00401332" w:rsidRPr="00D20AF9">
        <w:rPr>
          <w:rFonts w:ascii="Calibri" w:hAnsi="Calibri" w:cs="Calibri"/>
          <w:sz w:val="22"/>
          <w:szCs w:val="22"/>
          <w:shd w:val="clear" w:color="auto" w:fill="FFFFFF"/>
        </w:rPr>
        <w:t>mailed to Department of St</w:t>
      </w:r>
      <w:r w:rsidR="008C167D" w:rsidRPr="00D20AF9">
        <w:rPr>
          <w:rFonts w:ascii="Calibri" w:hAnsi="Calibri" w:cs="Calibri"/>
          <w:sz w:val="22"/>
          <w:szCs w:val="22"/>
          <w:shd w:val="clear" w:color="auto" w:fill="FFFFFF"/>
        </w:rPr>
        <w:t>ate</w:t>
      </w:r>
      <w:r w:rsidR="00401332" w:rsidRPr="00D20AF9">
        <w:rPr>
          <w:rFonts w:ascii="Calibri" w:hAnsi="Calibri" w:cs="Calibri"/>
          <w:sz w:val="22"/>
          <w:szCs w:val="22"/>
          <w:shd w:val="clear" w:color="auto" w:fill="FFFFFF"/>
        </w:rPr>
        <w:t xml:space="preserve"> Civ</w:t>
      </w:r>
      <w:r w:rsidR="008C167D" w:rsidRPr="00D20AF9">
        <w:rPr>
          <w:rFonts w:ascii="Calibri" w:hAnsi="Calibri" w:cs="Calibri"/>
          <w:sz w:val="22"/>
          <w:szCs w:val="22"/>
          <w:shd w:val="clear" w:color="auto" w:fill="FFFFFF"/>
        </w:rPr>
        <w:t>il</w:t>
      </w:r>
      <w:r w:rsidR="00401332" w:rsidRPr="00D20AF9">
        <w:rPr>
          <w:rFonts w:ascii="Calibri" w:hAnsi="Calibri" w:cs="Calibri"/>
          <w:sz w:val="22"/>
          <w:szCs w:val="22"/>
          <w:shd w:val="clear" w:color="auto" w:fill="FFFFFF"/>
        </w:rPr>
        <w:t xml:space="preserve"> Ser</w:t>
      </w:r>
      <w:r w:rsidR="008C167D" w:rsidRPr="00D20AF9">
        <w:rPr>
          <w:rFonts w:ascii="Calibri" w:hAnsi="Calibri" w:cs="Calibri"/>
          <w:sz w:val="22"/>
          <w:szCs w:val="22"/>
          <w:shd w:val="clear" w:color="auto" w:fill="FFFFFF"/>
        </w:rPr>
        <w:t>vi</w:t>
      </w:r>
      <w:r w:rsidR="00401332" w:rsidRPr="00D20AF9">
        <w:rPr>
          <w:rFonts w:ascii="Calibri" w:hAnsi="Calibri" w:cs="Calibri"/>
          <w:sz w:val="22"/>
          <w:szCs w:val="22"/>
          <w:shd w:val="clear" w:color="auto" w:fill="FFFFFF"/>
        </w:rPr>
        <w:t xml:space="preserve">ce – Appeals Division, PO Box 94111, Baton Rouge, LA 70804-9111; or hand delivered to </w:t>
      </w:r>
      <w:r w:rsidR="008C167D" w:rsidRPr="00D20AF9">
        <w:rPr>
          <w:rFonts w:ascii="Calibri" w:hAnsi="Calibri" w:cs="Calibri"/>
          <w:sz w:val="22"/>
          <w:szCs w:val="22"/>
          <w:shd w:val="clear" w:color="auto" w:fill="FFFFFF"/>
        </w:rPr>
        <w:t>Department of State Civil Service, Claiborne Building</w:t>
      </w:r>
      <w:r w:rsidR="003C219B">
        <w:rPr>
          <w:rFonts w:ascii="Calibri" w:hAnsi="Calibri" w:cs="Calibri"/>
          <w:sz w:val="22"/>
          <w:szCs w:val="22"/>
          <w:shd w:val="clear" w:color="auto" w:fill="FFFFFF"/>
        </w:rPr>
        <w:t>, Suite 3-270</w:t>
      </w:r>
      <w:r w:rsidR="008C167D" w:rsidRPr="00D20AF9">
        <w:rPr>
          <w:rFonts w:ascii="Calibri" w:hAnsi="Calibri" w:cs="Calibri"/>
          <w:sz w:val="22"/>
          <w:szCs w:val="22"/>
          <w:shd w:val="clear" w:color="auto" w:fill="FFFFFF"/>
        </w:rPr>
        <w:t>, 120</w:t>
      </w:r>
      <w:r w:rsidR="00EE2476">
        <w:rPr>
          <w:rFonts w:ascii="Calibri" w:hAnsi="Calibri" w:cs="Calibri"/>
          <w:sz w:val="22"/>
          <w:szCs w:val="22"/>
          <w:shd w:val="clear" w:color="auto" w:fill="FFFFFF"/>
        </w:rPr>
        <w:t>1</w:t>
      </w:r>
      <w:r w:rsidR="008C167D" w:rsidRPr="00D20AF9">
        <w:rPr>
          <w:rFonts w:ascii="Calibri" w:hAnsi="Calibri" w:cs="Calibri"/>
          <w:sz w:val="22"/>
          <w:szCs w:val="22"/>
          <w:shd w:val="clear" w:color="auto" w:fill="FFFFFF"/>
        </w:rPr>
        <w:t xml:space="preserve"> N. 3</w:t>
      </w:r>
      <w:r w:rsidR="008C167D" w:rsidRPr="00D20AF9">
        <w:rPr>
          <w:rFonts w:ascii="Calibri" w:hAnsi="Calibri" w:cs="Calibri"/>
          <w:sz w:val="22"/>
          <w:szCs w:val="22"/>
          <w:shd w:val="clear" w:color="auto" w:fill="FFFFFF"/>
          <w:vertAlign w:val="superscript"/>
        </w:rPr>
        <w:t>rd</w:t>
      </w:r>
      <w:r w:rsidR="008C167D" w:rsidRPr="00D20AF9">
        <w:rPr>
          <w:rFonts w:ascii="Calibri" w:hAnsi="Calibri" w:cs="Calibri"/>
          <w:sz w:val="22"/>
          <w:szCs w:val="22"/>
          <w:shd w:val="clear" w:color="auto" w:fill="FFFFFF"/>
        </w:rPr>
        <w:t xml:space="preserve"> Street, Baton Rouge, LA</w:t>
      </w:r>
      <w:r w:rsidR="003C219B">
        <w:rPr>
          <w:rFonts w:ascii="Calibri" w:hAnsi="Calibri" w:cs="Calibri"/>
          <w:sz w:val="22"/>
          <w:szCs w:val="22"/>
          <w:shd w:val="clear" w:color="auto" w:fill="FFFFFF"/>
        </w:rPr>
        <w:t xml:space="preserve"> 70802</w:t>
      </w:r>
      <w:r w:rsidR="00D20AF9">
        <w:rPr>
          <w:rFonts w:ascii="Calibri" w:hAnsi="Calibri" w:cs="Calibri"/>
          <w:sz w:val="22"/>
          <w:szCs w:val="22"/>
          <w:shd w:val="clear" w:color="auto" w:fill="FFFFFF"/>
        </w:rPr>
        <w:t>.</w:t>
      </w:r>
      <w:r w:rsidR="008C167D" w:rsidRPr="00D20AF9">
        <w:rPr>
          <w:rFonts w:ascii="Calibri" w:hAnsi="Calibri" w:cs="Calibri"/>
          <w:sz w:val="22"/>
          <w:szCs w:val="22"/>
          <w:shd w:val="clear" w:color="auto" w:fill="FFFFFF"/>
        </w:rPr>
        <w:t xml:space="preserve"> </w:t>
      </w:r>
    </w:p>
    <w:p w14:paraId="3D9D3BC8" w14:textId="77777777" w:rsidR="00E35796" w:rsidRPr="00630CE0" w:rsidRDefault="00E35796" w:rsidP="00E3546F">
      <w:pPr>
        <w:pStyle w:val="NormalWeb"/>
        <w:shd w:val="clear" w:color="auto" w:fill="FFFFFF"/>
        <w:spacing w:before="0" w:beforeAutospacing="0" w:after="0" w:afterAutospacing="0"/>
        <w:jc w:val="both"/>
        <w:rPr>
          <w:rFonts w:ascii="Calibri" w:hAnsi="Calibri" w:cs="Calibri"/>
          <w:sz w:val="22"/>
          <w:szCs w:val="22"/>
        </w:rPr>
      </w:pPr>
    </w:p>
    <w:p w14:paraId="640D27F4" w14:textId="03201F03" w:rsidR="001B0012" w:rsidRPr="00630CE0" w:rsidRDefault="00BF716D" w:rsidP="00E3546F">
      <w:pPr>
        <w:pStyle w:val="NormalWeb"/>
        <w:shd w:val="clear" w:color="auto" w:fill="FFFFFF"/>
        <w:spacing w:before="0" w:beforeAutospacing="0" w:after="0" w:afterAutospacing="0"/>
        <w:jc w:val="both"/>
        <w:rPr>
          <w:rFonts w:ascii="Calibri" w:hAnsi="Calibri" w:cs="Calibri"/>
          <w:sz w:val="22"/>
          <w:szCs w:val="22"/>
        </w:rPr>
      </w:pPr>
      <w:r w:rsidRPr="00630CE0">
        <w:rPr>
          <w:rFonts w:ascii="Calibri" w:hAnsi="Calibri" w:cs="Calibri"/>
          <w:sz w:val="22"/>
          <w:szCs w:val="22"/>
        </w:rPr>
        <w:t>To</w:t>
      </w:r>
      <w:r w:rsidR="00AF4551" w:rsidRPr="00630CE0">
        <w:rPr>
          <w:rFonts w:ascii="Calibri" w:hAnsi="Calibri" w:cs="Calibri"/>
          <w:sz w:val="22"/>
          <w:szCs w:val="22"/>
        </w:rPr>
        <w:t xml:space="preserve"> subpoena a person or documents</w:t>
      </w:r>
      <w:r>
        <w:rPr>
          <w:rFonts w:ascii="Calibri" w:hAnsi="Calibri" w:cs="Calibri"/>
          <w:sz w:val="22"/>
          <w:szCs w:val="22"/>
        </w:rPr>
        <w:t>,</w:t>
      </w:r>
      <w:r w:rsidR="001B0012" w:rsidRPr="00630CE0">
        <w:rPr>
          <w:rFonts w:ascii="Calibri" w:hAnsi="Calibri" w:cs="Calibri"/>
          <w:sz w:val="22"/>
          <w:szCs w:val="22"/>
        </w:rPr>
        <w:t xml:space="preserve"> you must comply with the following:</w:t>
      </w:r>
    </w:p>
    <w:p w14:paraId="745C079A" w14:textId="411BD6D3" w:rsidR="001B0012" w:rsidRPr="00630CE0" w:rsidRDefault="001B0012" w:rsidP="00E3546F">
      <w:pPr>
        <w:pStyle w:val="NormalWeb"/>
        <w:shd w:val="clear" w:color="auto" w:fill="FFFFFF"/>
        <w:spacing w:before="0" w:beforeAutospacing="0" w:after="0" w:afterAutospacing="0"/>
        <w:jc w:val="both"/>
        <w:rPr>
          <w:rFonts w:ascii="Calibri" w:hAnsi="Calibri" w:cs="Calibri"/>
          <w:sz w:val="22"/>
          <w:szCs w:val="22"/>
        </w:rPr>
      </w:pPr>
      <w:r w:rsidRPr="00630CE0">
        <w:rPr>
          <w:rFonts w:ascii="Calibri" w:hAnsi="Calibri" w:cs="Calibri"/>
          <w:sz w:val="22"/>
          <w:szCs w:val="22"/>
        </w:rPr>
        <w:t xml:space="preserve"> </w:t>
      </w:r>
    </w:p>
    <w:p w14:paraId="2F4EEEFC" w14:textId="77777777" w:rsidR="001B0012" w:rsidRPr="00630CE0" w:rsidRDefault="001B0012" w:rsidP="001B0012">
      <w:pPr>
        <w:pStyle w:val="NormalWeb"/>
        <w:numPr>
          <w:ilvl w:val="0"/>
          <w:numId w:val="1"/>
        </w:numPr>
        <w:shd w:val="clear" w:color="auto" w:fill="FFFFFF"/>
        <w:spacing w:before="0" w:beforeAutospacing="0" w:after="0" w:afterAutospacing="0"/>
        <w:jc w:val="both"/>
        <w:rPr>
          <w:rFonts w:ascii="Calibri" w:hAnsi="Calibri" w:cs="Calibri"/>
          <w:sz w:val="22"/>
          <w:szCs w:val="22"/>
        </w:rPr>
      </w:pPr>
      <w:r w:rsidRPr="00630CE0">
        <w:rPr>
          <w:rFonts w:ascii="Calibri" w:hAnsi="Calibri" w:cs="Calibri"/>
          <w:sz w:val="22"/>
          <w:szCs w:val="22"/>
        </w:rPr>
        <w:t xml:space="preserve">The </w:t>
      </w:r>
      <w:r w:rsidR="00A10D8A" w:rsidRPr="00630CE0">
        <w:rPr>
          <w:rFonts w:ascii="Calibri" w:hAnsi="Calibri" w:cs="Calibri"/>
          <w:sz w:val="22"/>
          <w:szCs w:val="22"/>
        </w:rPr>
        <w:t xml:space="preserve">subpoena request </w:t>
      </w:r>
      <w:r w:rsidR="00C03C4F" w:rsidRPr="00630CE0">
        <w:rPr>
          <w:rFonts w:ascii="Calibri" w:hAnsi="Calibri" w:cs="Calibri"/>
          <w:sz w:val="22"/>
          <w:szCs w:val="22"/>
        </w:rPr>
        <w:t xml:space="preserve">must be </w:t>
      </w:r>
      <w:r w:rsidR="00A10D8A" w:rsidRPr="00630CE0">
        <w:rPr>
          <w:rFonts w:ascii="Calibri" w:hAnsi="Calibri" w:cs="Calibri"/>
          <w:sz w:val="22"/>
          <w:szCs w:val="22"/>
        </w:rPr>
        <w:t>in writing.</w:t>
      </w:r>
    </w:p>
    <w:p w14:paraId="6123C3DD" w14:textId="594455E4" w:rsidR="001B0012" w:rsidRPr="00630CE0" w:rsidRDefault="00A10D8A" w:rsidP="001B0012">
      <w:pPr>
        <w:pStyle w:val="NormalWeb"/>
        <w:numPr>
          <w:ilvl w:val="0"/>
          <w:numId w:val="1"/>
        </w:numPr>
        <w:shd w:val="clear" w:color="auto" w:fill="FFFFFF"/>
        <w:spacing w:before="0" w:beforeAutospacing="0" w:after="0" w:afterAutospacing="0"/>
        <w:jc w:val="both"/>
        <w:rPr>
          <w:rFonts w:ascii="Calibri" w:hAnsi="Calibri" w:cs="Calibri"/>
          <w:sz w:val="22"/>
          <w:szCs w:val="22"/>
        </w:rPr>
      </w:pPr>
      <w:r w:rsidRPr="00630CE0">
        <w:rPr>
          <w:rFonts w:ascii="Calibri" w:hAnsi="Calibri" w:cs="Calibri"/>
          <w:sz w:val="22"/>
          <w:szCs w:val="22"/>
        </w:rPr>
        <w:t xml:space="preserve"> </w:t>
      </w:r>
      <w:r w:rsidR="006168A2">
        <w:rPr>
          <w:rFonts w:ascii="Calibri" w:hAnsi="Calibri" w:cs="Calibri"/>
          <w:sz w:val="22"/>
          <w:szCs w:val="22"/>
        </w:rPr>
        <w:t xml:space="preserve">This written request </w:t>
      </w:r>
      <w:r w:rsidR="00C03C4F" w:rsidRPr="00630CE0">
        <w:rPr>
          <w:rFonts w:ascii="Calibri" w:hAnsi="Calibri" w:cs="Calibri"/>
          <w:sz w:val="22"/>
          <w:szCs w:val="22"/>
        </w:rPr>
        <w:t xml:space="preserve"> mus</w:t>
      </w:r>
      <w:r w:rsidR="006168A2">
        <w:rPr>
          <w:rFonts w:ascii="Calibri" w:hAnsi="Calibri" w:cs="Calibri"/>
          <w:sz w:val="22"/>
          <w:szCs w:val="22"/>
        </w:rPr>
        <w:t>t be</w:t>
      </w:r>
      <w:r w:rsidRPr="00630CE0">
        <w:rPr>
          <w:rFonts w:ascii="Calibri" w:hAnsi="Calibri" w:cs="Calibri"/>
          <w:sz w:val="22"/>
          <w:szCs w:val="22"/>
        </w:rPr>
        <w:t xml:space="preserve"> receive</w:t>
      </w:r>
      <w:r w:rsidR="006168A2">
        <w:rPr>
          <w:rFonts w:ascii="Calibri" w:hAnsi="Calibri" w:cs="Calibri"/>
          <w:sz w:val="22"/>
          <w:szCs w:val="22"/>
        </w:rPr>
        <w:t>d</w:t>
      </w:r>
      <w:r w:rsidRPr="00630CE0">
        <w:rPr>
          <w:rFonts w:ascii="Calibri" w:hAnsi="Calibri" w:cs="Calibri"/>
          <w:sz w:val="22"/>
          <w:szCs w:val="22"/>
        </w:rPr>
        <w:t xml:space="preserve"> </w:t>
      </w:r>
      <w:r w:rsidR="006168A2">
        <w:rPr>
          <w:rFonts w:ascii="Calibri" w:hAnsi="Calibri" w:cs="Calibri"/>
          <w:sz w:val="22"/>
          <w:szCs w:val="22"/>
        </w:rPr>
        <w:t>by LA SCS - Appeals</w:t>
      </w:r>
      <w:r w:rsidRPr="00630CE0">
        <w:rPr>
          <w:rFonts w:ascii="Calibri" w:hAnsi="Calibri" w:cs="Calibri"/>
          <w:sz w:val="22"/>
          <w:szCs w:val="22"/>
        </w:rPr>
        <w:t xml:space="preserve"> no later than </w:t>
      </w:r>
      <w:r w:rsidRPr="00630CE0">
        <w:rPr>
          <w:rFonts w:ascii="Calibri" w:hAnsi="Calibri" w:cs="Calibri"/>
          <w:b/>
          <w:bCs/>
          <w:sz w:val="22"/>
          <w:szCs w:val="22"/>
        </w:rPr>
        <w:t>15 calendar days</w:t>
      </w:r>
      <w:r w:rsidRPr="00630CE0">
        <w:rPr>
          <w:rFonts w:ascii="Calibri" w:hAnsi="Calibri" w:cs="Calibri"/>
          <w:sz w:val="22"/>
          <w:szCs w:val="22"/>
        </w:rPr>
        <w:t> before the hearing.</w:t>
      </w:r>
    </w:p>
    <w:p w14:paraId="5FEFE4CF" w14:textId="77777777" w:rsidR="0074744F" w:rsidRPr="00630CE0" w:rsidRDefault="00A10D8A" w:rsidP="001B0012">
      <w:pPr>
        <w:pStyle w:val="NormalWeb"/>
        <w:numPr>
          <w:ilvl w:val="0"/>
          <w:numId w:val="1"/>
        </w:numPr>
        <w:shd w:val="clear" w:color="auto" w:fill="FFFFFF"/>
        <w:spacing w:before="0" w:beforeAutospacing="0" w:after="0" w:afterAutospacing="0"/>
        <w:jc w:val="both"/>
        <w:rPr>
          <w:rFonts w:ascii="Calibri" w:hAnsi="Calibri" w:cs="Calibri"/>
          <w:sz w:val="22"/>
          <w:szCs w:val="22"/>
        </w:rPr>
      </w:pPr>
      <w:r w:rsidRPr="00630CE0">
        <w:rPr>
          <w:rFonts w:ascii="Calibri" w:hAnsi="Calibri" w:cs="Calibri"/>
          <w:sz w:val="22"/>
          <w:szCs w:val="22"/>
        </w:rPr>
        <w:t>The request must identify the witnesses and documents to be produced at the hearing and explain what will be proved by each witness and document requested.</w:t>
      </w:r>
    </w:p>
    <w:p w14:paraId="6D2466F4" w14:textId="2DE19528" w:rsidR="0074744F" w:rsidRPr="00630CE0" w:rsidRDefault="00A10D8A" w:rsidP="0074744F">
      <w:pPr>
        <w:pStyle w:val="NormalWeb"/>
        <w:numPr>
          <w:ilvl w:val="1"/>
          <w:numId w:val="1"/>
        </w:numPr>
        <w:shd w:val="clear" w:color="auto" w:fill="FFFFFF"/>
        <w:spacing w:before="0" w:beforeAutospacing="0" w:after="0" w:afterAutospacing="0"/>
        <w:jc w:val="both"/>
        <w:rPr>
          <w:rFonts w:ascii="Calibri" w:hAnsi="Calibri" w:cs="Calibri"/>
          <w:sz w:val="22"/>
          <w:szCs w:val="22"/>
        </w:rPr>
      </w:pPr>
      <w:r w:rsidRPr="00630CE0">
        <w:rPr>
          <w:rFonts w:ascii="Calibri" w:hAnsi="Calibri" w:cs="Calibri"/>
          <w:sz w:val="22"/>
          <w:szCs w:val="22"/>
        </w:rPr>
        <w:t xml:space="preserve"> If </w:t>
      </w:r>
      <w:r w:rsidR="0062431E">
        <w:rPr>
          <w:rFonts w:ascii="Calibri" w:hAnsi="Calibri" w:cs="Calibri"/>
          <w:sz w:val="22"/>
          <w:szCs w:val="22"/>
        </w:rPr>
        <w:t>a</w:t>
      </w:r>
      <w:r w:rsidRPr="00630CE0">
        <w:rPr>
          <w:rFonts w:ascii="Calibri" w:hAnsi="Calibri" w:cs="Calibri"/>
          <w:sz w:val="22"/>
          <w:szCs w:val="22"/>
        </w:rPr>
        <w:t xml:space="preserve"> witness is a state employee, </w:t>
      </w:r>
      <w:r w:rsidR="00053648">
        <w:rPr>
          <w:rFonts w:ascii="Calibri" w:hAnsi="Calibri" w:cs="Calibri"/>
          <w:sz w:val="22"/>
          <w:szCs w:val="22"/>
        </w:rPr>
        <w:t xml:space="preserve">identify them as </w:t>
      </w:r>
      <w:r w:rsidR="00272624">
        <w:rPr>
          <w:rFonts w:ascii="Calibri" w:hAnsi="Calibri" w:cs="Calibri"/>
          <w:sz w:val="22"/>
          <w:szCs w:val="22"/>
        </w:rPr>
        <w:t xml:space="preserve">one and </w:t>
      </w:r>
      <w:r w:rsidRPr="00630CE0">
        <w:rPr>
          <w:rFonts w:ascii="Calibri" w:hAnsi="Calibri" w:cs="Calibri"/>
          <w:sz w:val="22"/>
          <w:szCs w:val="22"/>
        </w:rPr>
        <w:t>tell us which agency they work for</w:t>
      </w:r>
      <w:r w:rsidR="003C219B">
        <w:rPr>
          <w:rFonts w:ascii="Calibri" w:hAnsi="Calibri" w:cs="Calibri"/>
          <w:sz w:val="22"/>
          <w:szCs w:val="22"/>
        </w:rPr>
        <w:t xml:space="preserve"> and their address</w:t>
      </w:r>
      <w:r w:rsidRPr="00630CE0">
        <w:rPr>
          <w:rFonts w:ascii="Calibri" w:hAnsi="Calibri" w:cs="Calibri"/>
          <w:sz w:val="22"/>
          <w:szCs w:val="22"/>
        </w:rPr>
        <w:t xml:space="preserve">. </w:t>
      </w:r>
    </w:p>
    <w:p w14:paraId="7DEFEA26" w14:textId="4E4A1A0D" w:rsidR="0074744F" w:rsidRDefault="00A10D8A" w:rsidP="0074744F">
      <w:pPr>
        <w:pStyle w:val="NormalWeb"/>
        <w:numPr>
          <w:ilvl w:val="1"/>
          <w:numId w:val="1"/>
        </w:numPr>
        <w:shd w:val="clear" w:color="auto" w:fill="FFFFFF"/>
        <w:spacing w:before="0" w:beforeAutospacing="0" w:after="0" w:afterAutospacing="0"/>
        <w:jc w:val="both"/>
        <w:rPr>
          <w:rFonts w:ascii="Calibri" w:hAnsi="Calibri" w:cs="Calibri"/>
          <w:sz w:val="22"/>
          <w:szCs w:val="22"/>
        </w:rPr>
      </w:pPr>
      <w:r w:rsidRPr="00630CE0">
        <w:rPr>
          <w:rFonts w:ascii="Calibri" w:hAnsi="Calibri" w:cs="Calibri"/>
          <w:sz w:val="22"/>
          <w:szCs w:val="22"/>
        </w:rPr>
        <w:t xml:space="preserve">If </w:t>
      </w:r>
      <w:r w:rsidR="00B71E89">
        <w:rPr>
          <w:rFonts w:ascii="Calibri" w:hAnsi="Calibri" w:cs="Calibri"/>
          <w:sz w:val="22"/>
          <w:szCs w:val="22"/>
        </w:rPr>
        <w:t>a witness is not</w:t>
      </w:r>
      <w:r w:rsidRPr="00630CE0">
        <w:rPr>
          <w:rFonts w:ascii="Calibri" w:hAnsi="Calibri" w:cs="Calibri"/>
          <w:sz w:val="22"/>
          <w:szCs w:val="22"/>
        </w:rPr>
        <w:t xml:space="preserve"> a state employee, provide </w:t>
      </w:r>
      <w:r w:rsidR="00B71E89">
        <w:rPr>
          <w:rFonts w:ascii="Calibri" w:hAnsi="Calibri" w:cs="Calibri"/>
          <w:sz w:val="22"/>
          <w:szCs w:val="22"/>
        </w:rPr>
        <w:t xml:space="preserve">the full name and </w:t>
      </w:r>
      <w:r w:rsidR="00BC451E" w:rsidRPr="00630CE0">
        <w:rPr>
          <w:rFonts w:ascii="Calibri" w:hAnsi="Calibri" w:cs="Calibri"/>
          <w:sz w:val="22"/>
          <w:szCs w:val="22"/>
        </w:rPr>
        <w:t xml:space="preserve">mailing </w:t>
      </w:r>
      <w:r w:rsidRPr="00630CE0">
        <w:rPr>
          <w:rFonts w:ascii="Calibri" w:hAnsi="Calibri" w:cs="Calibri"/>
          <w:sz w:val="22"/>
          <w:szCs w:val="22"/>
        </w:rPr>
        <w:t xml:space="preserve">address, including the zip code, of the witness. </w:t>
      </w:r>
    </w:p>
    <w:p w14:paraId="4D2A6A56" w14:textId="1E7E2206" w:rsidR="00E35796" w:rsidRDefault="00B71E89" w:rsidP="00B02502">
      <w:pPr>
        <w:pStyle w:val="NormalWeb"/>
        <w:numPr>
          <w:ilvl w:val="1"/>
          <w:numId w:val="1"/>
        </w:numPr>
        <w:shd w:val="clear" w:color="auto" w:fill="FFFFFF"/>
        <w:spacing w:before="0" w:beforeAutospacing="0" w:after="0" w:afterAutospacing="0"/>
        <w:jc w:val="both"/>
        <w:rPr>
          <w:rFonts w:ascii="Calibri" w:hAnsi="Calibri" w:cs="Calibri"/>
          <w:sz w:val="22"/>
          <w:szCs w:val="22"/>
        </w:rPr>
      </w:pPr>
      <w:r w:rsidRPr="00B71E89">
        <w:rPr>
          <w:rFonts w:ascii="Calibri" w:hAnsi="Calibri" w:cs="Calibri"/>
          <w:sz w:val="22"/>
          <w:szCs w:val="22"/>
        </w:rPr>
        <w:t>I</w:t>
      </w:r>
      <w:r w:rsidR="000B5C2C">
        <w:rPr>
          <w:rFonts w:ascii="Calibri" w:hAnsi="Calibri" w:cs="Calibri"/>
          <w:sz w:val="22"/>
          <w:szCs w:val="22"/>
        </w:rPr>
        <w:t>f</w:t>
      </w:r>
      <w:r w:rsidRPr="00B71E89">
        <w:rPr>
          <w:rFonts w:ascii="Calibri" w:hAnsi="Calibri" w:cs="Calibri"/>
          <w:sz w:val="22"/>
          <w:szCs w:val="22"/>
        </w:rPr>
        <w:t xml:space="preserve"> the request is for documents, it must contain a description of the item(s) in sufficient detail for identification and shall contain the name and street address of the person who is to be required to produce the item(s)</w:t>
      </w:r>
      <w:r>
        <w:rPr>
          <w:rFonts w:ascii="Calibri" w:hAnsi="Calibri" w:cs="Calibri"/>
          <w:sz w:val="22"/>
          <w:szCs w:val="22"/>
        </w:rPr>
        <w:t>.</w:t>
      </w:r>
    </w:p>
    <w:p w14:paraId="5CF8079A" w14:textId="77777777" w:rsidR="00B71E89" w:rsidRPr="00B71E89" w:rsidRDefault="00B71E89" w:rsidP="000B5C2C">
      <w:pPr>
        <w:pStyle w:val="NormalWeb"/>
        <w:shd w:val="clear" w:color="auto" w:fill="FFFFFF"/>
        <w:spacing w:before="0" w:beforeAutospacing="0" w:after="0" w:afterAutospacing="0"/>
        <w:ind w:left="1080"/>
        <w:jc w:val="both"/>
        <w:rPr>
          <w:rFonts w:ascii="Calibri" w:hAnsi="Calibri" w:cs="Calibri"/>
          <w:sz w:val="22"/>
          <w:szCs w:val="22"/>
        </w:rPr>
      </w:pPr>
    </w:p>
    <w:p w14:paraId="17956D32" w14:textId="745B6425" w:rsidR="00BF716D" w:rsidRPr="00C109BB" w:rsidRDefault="00BF716D" w:rsidP="00BF716D">
      <w:pPr>
        <w:jc w:val="both"/>
        <w:rPr>
          <w:sz w:val="24"/>
          <w:szCs w:val="24"/>
        </w:rPr>
      </w:pPr>
      <w:r>
        <w:rPr>
          <w:sz w:val="24"/>
          <w:szCs w:val="24"/>
        </w:rPr>
        <w:t>Please be aware that all witnesses and documents must be relevant to the issues in the appeal, and the Referee may limit the testimony of multiple witnesses on the same subject. Please see SCR 13.19(j) and 13.21.</w:t>
      </w:r>
    </w:p>
    <w:p w14:paraId="724C11DD" w14:textId="291727A4" w:rsidR="00A10D8A" w:rsidRPr="00630CE0" w:rsidRDefault="00A10D8A" w:rsidP="0074744F">
      <w:pPr>
        <w:pStyle w:val="NormalWeb"/>
        <w:shd w:val="clear" w:color="auto" w:fill="FFFFFF"/>
        <w:spacing w:before="0" w:beforeAutospacing="0" w:after="0" w:afterAutospacing="0"/>
        <w:jc w:val="both"/>
        <w:rPr>
          <w:rFonts w:ascii="Calibri" w:hAnsi="Calibri" w:cs="Calibri"/>
          <w:b/>
          <w:bCs/>
          <w:sz w:val="22"/>
          <w:szCs w:val="22"/>
        </w:rPr>
      </w:pPr>
      <w:r w:rsidRPr="00630CE0">
        <w:rPr>
          <w:rFonts w:ascii="Calibri" w:hAnsi="Calibri" w:cs="Calibri"/>
          <w:b/>
          <w:bCs/>
          <w:sz w:val="22"/>
          <w:szCs w:val="22"/>
        </w:rPr>
        <w:t> If the request does not comply with these instructions</w:t>
      </w:r>
      <w:r w:rsidR="00DC2658">
        <w:rPr>
          <w:rFonts w:ascii="Calibri" w:hAnsi="Calibri" w:cs="Calibri"/>
          <w:b/>
          <w:bCs/>
          <w:sz w:val="22"/>
          <w:szCs w:val="22"/>
        </w:rPr>
        <w:t xml:space="preserve"> and LA SCS</w:t>
      </w:r>
      <w:r w:rsidR="008439BC">
        <w:rPr>
          <w:rFonts w:ascii="Calibri" w:hAnsi="Calibri" w:cs="Calibri"/>
          <w:b/>
          <w:bCs/>
          <w:sz w:val="22"/>
          <w:szCs w:val="22"/>
        </w:rPr>
        <w:t xml:space="preserve"> </w:t>
      </w:r>
      <w:r w:rsidR="00DC2658">
        <w:rPr>
          <w:rFonts w:ascii="Calibri" w:hAnsi="Calibri" w:cs="Calibri"/>
          <w:b/>
          <w:bCs/>
          <w:sz w:val="22"/>
          <w:szCs w:val="22"/>
        </w:rPr>
        <w:t>R</w:t>
      </w:r>
      <w:r w:rsidR="008439BC">
        <w:rPr>
          <w:rFonts w:ascii="Calibri" w:hAnsi="Calibri" w:cs="Calibri"/>
          <w:b/>
          <w:bCs/>
          <w:sz w:val="22"/>
          <w:szCs w:val="22"/>
        </w:rPr>
        <w:t>ule</w:t>
      </w:r>
      <w:r w:rsidR="00DC2658">
        <w:rPr>
          <w:rFonts w:ascii="Calibri" w:hAnsi="Calibri" w:cs="Calibri"/>
          <w:b/>
          <w:bCs/>
          <w:sz w:val="22"/>
          <w:szCs w:val="22"/>
        </w:rPr>
        <w:t xml:space="preserve"> 13:21</w:t>
      </w:r>
      <w:r w:rsidR="00E35796" w:rsidRPr="00630CE0">
        <w:rPr>
          <w:rFonts w:ascii="Calibri" w:hAnsi="Calibri" w:cs="Calibri"/>
          <w:b/>
          <w:bCs/>
          <w:sz w:val="22"/>
          <w:szCs w:val="22"/>
        </w:rPr>
        <w:t xml:space="preserve">, </w:t>
      </w:r>
      <w:r w:rsidRPr="00630CE0">
        <w:rPr>
          <w:rFonts w:ascii="Calibri" w:hAnsi="Calibri" w:cs="Calibri"/>
          <w:b/>
          <w:bCs/>
          <w:sz w:val="22"/>
          <w:szCs w:val="22"/>
        </w:rPr>
        <w:t>it will be denied.</w:t>
      </w:r>
    </w:p>
    <w:p w14:paraId="0BA00EB7" w14:textId="77777777" w:rsidR="00E35796" w:rsidRPr="00630CE0" w:rsidRDefault="00E35796" w:rsidP="0074744F">
      <w:pPr>
        <w:pStyle w:val="NormalWeb"/>
        <w:shd w:val="clear" w:color="auto" w:fill="FFFFFF"/>
        <w:spacing w:before="0" w:beforeAutospacing="0" w:after="0" w:afterAutospacing="0"/>
        <w:jc w:val="both"/>
        <w:rPr>
          <w:rFonts w:ascii="Calibri" w:hAnsi="Calibri" w:cs="Calibri"/>
          <w:sz w:val="22"/>
          <w:szCs w:val="22"/>
        </w:rPr>
      </w:pPr>
    </w:p>
    <w:p w14:paraId="6B56353B" w14:textId="6F978772" w:rsidR="00A10D8A" w:rsidRPr="00630CE0" w:rsidRDefault="00A10D8A" w:rsidP="00E3546F">
      <w:pPr>
        <w:pStyle w:val="NormalWeb"/>
        <w:shd w:val="clear" w:color="auto" w:fill="FFFFFF"/>
        <w:spacing w:before="0" w:beforeAutospacing="0" w:after="150" w:afterAutospacing="0"/>
        <w:jc w:val="both"/>
        <w:rPr>
          <w:rFonts w:ascii="Calibri" w:hAnsi="Calibri" w:cs="Calibri"/>
          <w:sz w:val="22"/>
          <w:szCs w:val="22"/>
        </w:rPr>
      </w:pPr>
      <w:r w:rsidRPr="00630CE0">
        <w:rPr>
          <w:rFonts w:ascii="Calibri" w:hAnsi="Calibri" w:cs="Calibri"/>
          <w:sz w:val="22"/>
          <w:szCs w:val="22"/>
        </w:rPr>
        <w:t xml:space="preserve">You may arrange for a witness to voluntarily appear at the hearing, </w:t>
      </w:r>
      <w:r w:rsidR="00E35796" w:rsidRPr="00630CE0">
        <w:rPr>
          <w:rFonts w:ascii="Calibri" w:hAnsi="Calibri" w:cs="Calibri"/>
          <w:sz w:val="22"/>
          <w:szCs w:val="22"/>
        </w:rPr>
        <w:t>barring any objection from the opposing party. However, i</w:t>
      </w:r>
      <w:r w:rsidRPr="00630CE0">
        <w:rPr>
          <w:rFonts w:ascii="Calibri" w:hAnsi="Calibri" w:cs="Calibri"/>
          <w:sz w:val="22"/>
          <w:szCs w:val="22"/>
        </w:rPr>
        <w:t>f the volunteer witness does not appear, the hearing will not be held open to take his/her testimony at a later date.</w:t>
      </w:r>
    </w:p>
    <w:p w14:paraId="4847FAB4" w14:textId="77777777" w:rsidR="00A10D8A" w:rsidRPr="00630CE0" w:rsidRDefault="00A10D8A" w:rsidP="00E3546F">
      <w:pPr>
        <w:shd w:val="clear" w:color="auto" w:fill="FFFFFF"/>
        <w:spacing w:after="0" w:line="240" w:lineRule="auto"/>
        <w:jc w:val="both"/>
        <w:rPr>
          <w:rFonts w:eastAsia="Times New Roman"/>
          <w:b/>
          <w:bCs/>
          <w:kern w:val="0"/>
          <w14:ligatures w14:val="none"/>
        </w:rPr>
      </w:pPr>
    </w:p>
    <w:p w14:paraId="0347E2D2" w14:textId="273C1D97" w:rsidR="00472C7D" w:rsidRPr="00630CE0" w:rsidRDefault="00472C7D" w:rsidP="00E3546F">
      <w:pPr>
        <w:shd w:val="clear" w:color="auto" w:fill="FFFFFF"/>
        <w:spacing w:after="0" w:line="240" w:lineRule="auto"/>
        <w:jc w:val="both"/>
        <w:rPr>
          <w:rFonts w:eastAsia="Times New Roman"/>
          <w:b/>
          <w:bCs/>
          <w:kern w:val="0"/>
          <w14:ligatures w14:val="none"/>
        </w:rPr>
      </w:pPr>
      <w:r w:rsidRPr="00630CE0">
        <w:rPr>
          <w:rFonts w:eastAsia="Times New Roman"/>
          <w:b/>
          <w:bCs/>
          <w:kern w:val="0"/>
          <w14:ligatures w14:val="none"/>
        </w:rPr>
        <w:t>13.21 Subpoena of Witnesses; Production of Documents</w:t>
      </w:r>
    </w:p>
    <w:p w14:paraId="4A54ADEC" w14:textId="77777777" w:rsidR="00D51C83" w:rsidRPr="00630CE0" w:rsidRDefault="00D51C83" w:rsidP="00E3546F">
      <w:pPr>
        <w:shd w:val="clear" w:color="auto" w:fill="FFFFFF"/>
        <w:spacing w:after="0" w:line="240" w:lineRule="auto"/>
        <w:jc w:val="both"/>
        <w:rPr>
          <w:rFonts w:eastAsia="Times New Roman"/>
          <w:b/>
          <w:bCs/>
          <w:kern w:val="0"/>
          <w14:ligatures w14:val="none"/>
        </w:rPr>
      </w:pPr>
    </w:p>
    <w:p w14:paraId="77D5367A" w14:textId="70C9641F" w:rsidR="00472C7D" w:rsidRPr="00630CE0" w:rsidRDefault="00472C7D" w:rsidP="00630CE0">
      <w:pPr>
        <w:pStyle w:val="ListParagraph"/>
        <w:numPr>
          <w:ilvl w:val="0"/>
          <w:numId w:val="2"/>
        </w:numPr>
        <w:shd w:val="clear" w:color="auto" w:fill="FFFFFF"/>
        <w:spacing w:after="0" w:line="240" w:lineRule="auto"/>
        <w:ind w:right="720"/>
        <w:jc w:val="both"/>
        <w:rPr>
          <w:rFonts w:eastAsia="Times New Roman"/>
          <w:kern w:val="0"/>
          <w14:ligatures w14:val="none"/>
        </w:rPr>
      </w:pPr>
      <w:r w:rsidRPr="00630CE0">
        <w:rPr>
          <w:rFonts w:eastAsia="Times New Roman"/>
          <w:kern w:val="0"/>
          <w14:ligatures w14:val="none"/>
        </w:rPr>
        <w:t>The Commission, each member thereof, the Director, the Deputy Director, any referee appointed by the Commission, and any specially designated agent of the Commission shall have the power to order the appearance of witnesses and compel the production of books and papers pertinent to the issues involved in any appeal, provided such witnesses and such books and papers are within the State.</w:t>
      </w:r>
    </w:p>
    <w:p w14:paraId="1DC02EA0" w14:textId="77777777" w:rsidR="00630CE0" w:rsidRPr="00630CE0" w:rsidRDefault="00630CE0" w:rsidP="00630CE0">
      <w:pPr>
        <w:pStyle w:val="ListParagraph"/>
        <w:shd w:val="clear" w:color="auto" w:fill="FFFFFF"/>
        <w:spacing w:after="0" w:line="240" w:lineRule="auto"/>
        <w:ind w:left="1080" w:right="720"/>
        <w:jc w:val="both"/>
        <w:rPr>
          <w:rFonts w:eastAsia="Times New Roman"/>
          <w:kern w:val="0"/>
          <w14:ligatures w14:val="none"/>
        </w:rPr>
      </w:pPr>
    </w:p>
    <w:p w14:paraId="1B6BEC61" w14:textId="77777777" w:rsidR="00630CE0" w:rsidRPr="00630CE0" w:rsidRDefault="00472C7D" w:rsidP="00630CE0">
      <w:pPr>
        <w:pStyle w:val="ListParagraph"/>
        <w:numPr>
          <w:ilvl w:val="0"/>
          <w:numId w:val="2"/>
        </w:numPr>
        <w:shd w:val="clear" w:color="auto" w:fill="FFFFFF"/>
        <w:spacing w:after="0" w:line="240" w:lineRule="auto"/>
        <w:ind w:right="720"/>
        <w:jc w:val="both"/>
        <w:rPr>
          <w:rFonts w:eastAsia="Times New Roman"/>
          <w:kern w:val="0"/>
          <w14:ligatures w14:val="none"/>
        </w:rPr>
      </w:pPr>
      <w:r w:rsidRPr="00630CE0">
        <w:rPr>
          <w:rFonts w:eastAsia="Times New Roman"/>
          <w:kern w:val="0"/>
          <w14:ligatures w14:val="none"/>
        </w:rPr>
        <w:lastRenderedPageBreak/>
        <w:t>For all hearings conducted after July 1, 1982, no subpoena will be issued unless a written request for the issuance of subpoenas is received in the office of the Director of the Department of State Civil Service no later than fifteen (15) calendar days before the date fixed for the hearing. The request for subpoenas shall contain the names of the witnesses, the street addresses at which the witnesses can be served, and a brief statement of what is intended to be proved by each witness.</w:t>
      </w:r>
    </w:p>
    <w:p w14:paraId="165800F6" w14:textId="77777777" w:rsidR="00630CE0" w:rsidRPr="00630CE0" w:rsidRDefault="00630CE0" w:rsidP="00630CE0">
      <w:pPr>
        <w:pStyle w:val="ListParagraph"/>
        <w:rPr>
          <w:rFonts w:eastAsia="Times New Roman"/>
          <w:kern w:val="0"/>
          <w14:ligatures w14:val="none"/>
        </w:rPr>
      </w:pPr>
    </w:p>
    <w:p w14:paraId="7E90B193" w14:textId="77777777" w:rsidR="00630CE0" w:rsidRPr="00630CE0" w:rsidRDefault="00472C7D" w:rsidP="00630CE0">
      <w:pPr>
        <w:pStyle w:val="ListParagraph"/>
        <w:numPr>
          <w:ilvl w:val="0"/>
          <w:numId w:val="2"/>
        </w:numPr>
        <w:shd w:val="clear" w:color="auto" w:fill="FFFFFF"/>
        <w:spacing w:after="0" w:line="240" w:lineRule="auto"/>
        <w:ind w:right="720"/>
        <w:jc w:val="both"/>
        <w:rPr>
          <w:rFonts w:eastAsia="Times New Roman"/>
          <w:kern w:val="0"/>
          <w14:ligatures w14:val="none"/>
        </w:rPr>
      </w:pPr>
      <w:r w:rsidRPr="00630CE0">
        <w:rPr>
          <w:rFonts w:eastAsia="Times New Roman"/>
          <w:kern w:val="0"/>
          <w14:ligatures w14:val="none"/>
        </w:rPr>
        <w:t>In lieu of the issuance and service of formal subpoenas to persons who perform work for the State, the Commission or any person authorized by Sub-section (a) of this Rule may request any appointing authority to order any employee, temporary worker, or contractor under his supervision to attend and testify at any hearing, and upon being so ordered the employee shall appear at the hearing and furnish testimony</w:t>
      </w:r>
      <w:r w:rsidR="00630CE0" w:rsidRPr="00630CE0">
        <w:rPr>
          <w:rFonts w:eastAsia="Times New Roman"/>
          <w:kern w:val="0"/>
          <w14:ligatures w14:val="none"/>
        </w:rPr>
        <w:t>.</w:t>
      </w:r>
    </w:p>
    <w:p w14:paraId="0FF93D88" w14:textId="77777777" w:rsidR="00630CE0" w:rsidRPr="00630CE0" w:rsidRDefault="00630CE0" w:rsidP="00630CE0">
      <w:pPr>
        <w:pStyle w:val="ListParagraph"/>
        <w:rPr>
          <w:rFonts w:eastAsia="Times New Roman"/>
          <w:kern w:val="0"/>
          <w14:ligatures w14:val="none"/>
        </w:rPr>
      </w:pPr>
    </w:p>
    <w:p w14:paraId="1EBC8DF3" w14:textId="77777777" w:rsidR="00630CE0" w:rsidRPr="00630CE0" w:rsidRDefault="00472C7D" w:rsidP="00630CE0">
      <w:pPr>
        <w:pStyle w:val="ListParagraph"/>
        <w:numPr>
          <w:ilvl w:val="0"/>
          <w:numId w:val="2"/>
        </w:numPr>
        <w:shd w:val="clear" w:color="auto" w:fill="FFFFFF"/>
        <w:spacing w:after="0" w:line="240" w:lineRule="auto"/>
        <w:ind w:right="720"/>
        <w:jc w:val="both"/>
        <w:rPr>
          <w:rFonts w:eastAsia="Times New Roman"/>
          <w:kern w:val="0"/>
          <w14:ligatures w14:val="none"/>
        </w:rPr>
      </w:pPr>
      <w:r w:rsidRPr="00630CE0">
        <w:rPr>
          <w:rFonts w:eastAsia="Times New Roman"/>
          <w:kern w:val="0"/>
          <w14:ligatures w14:val="none"/>
        </w:rPr>
        <w:t xml:space="preserve"> For all hearings conducted after July 1, 1982, no subpoena for the production of books, papers, or other items will be issued unless a written request for the issuance of subpoenas is received in the office of the Director of the Department of State Civil Service no later than fifteen (15) calendar days before the date fixed for the hearing. The request for a subpoena for books, papers or other items shall contain a description of the items to be produced in sufficient detail for identification and shall contain the name and street address of the person who is to be required to produce the items and a brief statement of what is intended to be proved by each item.</w:t>
      </w:r>
    </w:p>
    <w:p w14:paraId="429E74B9" w14:textId="77777777" w:rsidR="00630CE0" w:rsidRPr="00630CE0" w:rsidRDefault="00630CE0" w:rsidP="00630CE0">
      <w:pPr>
        <w:pStyle w:val="ListParagraph"/>
        <w:rPr>
          <w:rFonts w:eastAsia="Times New Roman"/>
          <w:kern w:val="0"/>
          <w14:ligatures w14:val="none"/>
        </w:rPr>
      </w:pPr>
    </w:p>
    <w:p w14:paraId="5F2CAE04" w14:textId="77777777" w:rsidR="00630CE0" w:rsidRPr="00630CE0" w:rsidRDefault="00472C7D" w:rsidP="00630CE0">
      <w:pPr>
        <w:pStyle w:val="ListParagraph"/>
        <w:numPr>
          <w:ilvl w:val="0"/>
          <w:numId w:val="2"/>
        </w:numPr>
        <w:shd w:val="clear" w:color="auto" w:fill="FFFFFF"/>
        <w:spacing w:after="0" w:line="240" w:lineRule="auto"/>
        <w:ind w:right="720"/>
        <w:jc w:val="both"/>
        <w:rPr>
          <w:rFonts w:eastAsia="Times New Roman"/>
          <w:kern w:val="0"/>
          <w14:ligatures w14:val="none"/>
        </w:rPr>
      </w:pPr>
      <w:r w:rsidRPr="00630CE0">
        <w:rPr>
          <w:rFonts w:eastAsia="Times New Roman"/>
          <w:kern w:val="0"/>
          <w14:ligatures w14:val="none"/>
        </w:rPr>
        <w:t>No subpoena will be issued unless the request therefor complies with this Rule and the person authorized to issue the subpoena is satisfied that the testimony of the witness or the production of the books, papers, or other items is relevant to the issues before the Commission.</w:t>
      </w:r>
    </w:p>
    <w:p w14:paraId="501CAADD" w14:textId="77777777" w:rsidR="00630CE0" w:rsidRPr="00630CE0" w:rsidRDefault="00630CE0" w:rsidP="00630CE0">
      <w:pPr>
        <w:pStyle w:val="ListParagraph"/>
        <w:rPr>
          <w:rFonts w:eastAsia="Times New Roman"/>
          <w:kern w:val="0"/>
          <w14:ligatures w14:val="none"/>
        </w:rPr>
      </w:pPr>
    </w:p>
    <w:p w14:paraId="53CA0D06" w14:textId="77777777" w:rsidR="00630CE0" w:rsidRPr="00630CE0" w:rsidRDefault="00472C7D" w:rsidP="00630CE0">
      <w:pPr>
        <w:pStyle w:val="ListParagraph"/>
        <w:numPr>
          <w:ilvl w:val="0"/>
          <w:numId w:val="2"/>
        </w:numPr>
        <w:shd w:val="clear" w:color="auto" w:fill="FFFFFF"/>
        <w:spacing w:after="0" w:line="240" w:lineRule="auto"/>
        <w:ind w:right="720"/>
        <w:jc w:val="both"/>
        <w:rPr>
          <w:rFonts w:eastAsia="Times New Roman"/>
          <w:kern w:val="0"/>
          <w14:ligatures w14:val="none"/>
        </w:rPr>
      </w:pPr>
      <w:r w:rsidRPr="00630CE0">
        <w:rPr>
          <w:rFonts w:eastAsia="Times New Roman"/>
          <w:kern w:val="0"/>
          <w14:ligatures w14:val="none"/>
        </w:rPr>
        <w:t>Authentic copies of books, papers, photographs, or other items in the custody of any department, board, or agency of the State or any sub-division thereof which have been subpoenaed may be admitted in evidence with the same effect as the originals, but if the original books, papers, photographs, or other items are subpoenaed they must be produced and made available for inspection even though authentic copies may be subsequently introduced.</w:t>
      </w:r>
    </w:p>
    <w:p w14:paraId="0962933F" w14:textId="77777777" w:rsidR="00630CE0" w:rsidRPr="00630CE0" w:rsidRDefault="00630CE0" w:rsidP="00630CE0">
      <w:pPr>
        <w:pStyle w:val="ListParagraph"/>
        <w:rPr>
          <w:rFonts w:eastAsia="Times New Roman"/>
          <w:kern w:val="0"/>
          <w14:ligatures w14:val="none"/>
        </w:rPr>
      </w:pPr>
    </w:p>
    <w:p w14:paraId="1D01BB00" w14:textId="77777777" w:rsidR="00630CE0" w:rsidRPr="00630CE0" w:rsidRDefault="00472C7D" w:rsidP="00630CE0">
      <w:pPr>
        <w:pStyle w:val="ListParagraph"/>
        <w:numPr>
          <w:ilvl w:val="0"/>
          <w:numId w:val="2"/>
        </w:numPr>
        <w:shd w:val="clear" w:color="auto" w:fill="FFFFFF"/>
        <w:spacing w:after="0" w:line="240" w:lineRule="auto"/>
        <w:ind w:right="720"/>
        <w:jc w:val="both"/>
        <w:rPr>
          <w:rFonts w:eastAsia="Times New Roman"/>
          <w:kern w:val="0"/>
          <w14:ligatures w14:val="none"/>
        </w:rPr>
      </w:pPr>
      <w:r w:rsidRPr="00630CE0">
        <w:rPr>
          <w:rFonts w:eastAsia="Times New Roman"/>
          <w:kern w:val="0"/>
          <w14:ligatures w14:val="none"/>
        </w:rPr>
        <w:t>The Commission, its Chairman, or the Director, or a referee, for cause deemed sufficient, may issue an appropriate order at any time recalling any subpoena, subpoena duces tecum, or request issued under the provisions of this Rule</w:t>
      </w:r>
      <w:r w:rsidR="00630CE0" w:rsidRPr="00630CE0">
        <w:rPr>
          <w:rFonts w:eastAsia="Times New Roman"/>
          <w:kern w:val="0"/>
          <w14:ligatures w14:val="none"/>
        </w:rPr>
        <w:t>.</w:t>
      </w:r>
    </w:p>
    <w:p w14:paraId="666FA88B" w14:textId="77777777" w:rsidR="00630CE0" w:rsidRPr="00630CE0" w:rsidRDefault="00630CE0" w:rsidP="00630CE0">
      <w:pPr>
        <w:pStyle w:val="ListParagraph"/>
        <w:rPr>
          <w:rFonts w:eastAsia="Times New Roman"/>
          <w:kern w:val="0"/>
          <w14:ligatures w14:val="none"/>
        </w:rPr>
      </w:pPr>
    </w:p>
    <w:p w14:paraId="0F81155C" w14:textId="3B03D4A6" w:rsidR="00472C7D" w:rsidRPr="00630CE0" w:rsidRDefault="00472C7D" w:rsidP="00630CE0">
      <w:pPr>
        <w:pStyle w:val="ListParagraph"/>
        <w:numPr>
          <w:ilvl w:val="0"/>
          <w:numId w:val="2"/>
        </w:numPr>
        <w:shd w:val="clear" w:color="auto" w:fill="FFFFFF"/>
        <w:spacing w:after="0" w:line="240" w:lineRule="auto"/>
        <w:ind w:right="720"/>
        <w:jc w:val="both"/>
        <w:rPr>
          <w:rFonts w:eastAsia="Times New Roman"/>
          <w:kern w:val="0"/>
          <w14:ligatures w14:val="none"/>
        </w:rPr>
      </w:pPr>
      <w:r w:rsidRPr="00630CE0">
        <w:rPr>
          <w:rFonts w:eastAsia="Times New Roman"/>
          <w:kern w:val="0"/>
          <w14:ligatures w14:val="none"/>
        </w:rPr>
        <w:t>The abuse of the privilege to require the attendance of witnesses or the production of books, papers, photographs, or other items shall be deemed a violation of these Rules and shall be dealt with accordingly.</w:t>
      </w:r>
    </w:p>
    <w:p w14:paraId="30F28068" w14:textId="77777777" w:rsidR="00630CE0" w:rsidRPr="00630CE0" w:rsidRDefault="00630CE0" w:rsidP="00630CE0">
      <w:pPr>
        <w:pStyle w:val="ListParagraph"/>
        <w:rPr>
          <w:rFonts w:eastAsia="Times New Roman"/>
          <w:kern w:val="0"/>
          <w14:ligatures w14:val="none"/>
        </w:rPr>
      </w:pPr>
    </w:p>
    <w:p w14:paraId="032B5898" w14:textId="77777777" w:rsidR="00630CE0" w:rsidRPr="00630CE0" w:rsidRDefault="00630CE0" w:rsidP="00630CE0">
      <w:pPr>
        <w:pStyle w:val="ListParagraph"/>
        <w:shd w:val="clear" w:color="auto" w:fill="FFFFFF"/>
        <w:spacing w:after="0" w:line="240" w:lineRule="auto"/>
        <w:ind w:left="1080" w:right="720"/>
        <w:jc w:val="both"/>
        <w:rPr>
          <w:rFonts w:eastAsia="Times New Roman"/>
          <w:kern w:val="0"/>
          <w14:ligatures w14:val="none"/>
        </w:rPr>
      </w:pPr>
    </w:p>
    <w:p w14:paraId="5ECB66CF" w14:textId="0117A266" w:rsidR="00DB40AC" w:rsidRPr="00630CE0" w:rsidRDefault="00DB40AC" w:rsidP="00E3546F">
      <w:pPr>
        <w:shd w:val="clear" w:color="auto" w:fill="FFFFFF"/>
        <w:spacing w:after="150" w:line="240" w:lineRule="auto"/>
        <w:jc w:val="both"/>
        <w:rPr>
          <w:rFonts w:eastAsia="Times New Roman"/>
          <w:kern w:val="0"/>
          <w14:ligatures w14:val="none"/>
        </w:rPr>
      </w:pPr>
      <w:r w:rsidRPr="00630CE0">
        <w:rPr>
          <w:rFonts w:eastAsia="Times New Roman"/>
          <w:kern w:val="0"/>
          <w14:ligatures w14:val="none"/>
        </w:rPr>
        <w:t xml:space="preserve">Rule 13.21 – Subpoenas - </w:t>
      </w:r>
      <w:r w:rsidR="0013747D" w:rsidRPr="00630CE0">
        <w:rPr>
          <w:rFonts w:eastAsia="Times New Roman"/>
          <w:kern w:val="0"/>
          <w14:ligatures w14:val="none"/>
        </w:rPr>
        <w:t>annotations</w:t>
      </w:r>
    </w:p>
    <w:p w14:paraId="0CA60190" w14:textId="77777777" w:rsidR="001728C8" w:rsidRDefault="00DB40AC" w:rsidP="00E3546F">
      <w:pPr>
        <w:shd w:val="clear" w:color="auto" w:fill="FFFFFF"/>
        <w:spacing w:after="150" w:line="240" w:lineRule="auto"/>
        <w:jc w:val="both"/>
        <w:rPr>
          <w:rFonts w:eastAsia="Times New Roman"/>
          <w:kern w:val="0"/>
          <w14:ligatures w14:val="none"/>
        </w:rPr>
      </w:pPr>
      <w:r w:rsidRPr="00630CE0">
        <w:rPr>
          <w:rFonts w:eastAsia="Times New Roman"/>
          <w:kern w:val="0"/>
          <w14:ligatures w14:val="none"/>
        </w:rPr>
        <w:t xml:space="preserve">The Commission can refuse to issue subpoenas where the subpoena request indicates that the testimony would be corroborative. Munson v. State Parks and Recreation Commission, 235 La. 652, 105 So.2d 254 (1958) </w:t>
      </w:r>
    </w:p>
    <w:p w14:paraId="614F567E" w14:textId="77777777" w:rsidR="001728C8" w:rsidRDefault="00DB40AC" w:rsidP="00E3546F">
      <w:pPr>
        <w:shd w:val="clear" w:color="auto" w:fill="FFFFFF"/>
        <w:spacing w:after="150" w:line="240" w:lineRule="auto"/>
        <w:jc w:val="both"/>
        <w:rPr>
          <w:rFonts w:eastAsia="Times New Roman"/>
          <w:kern w:val="0"/>
          <w14:ligatures w14:val="none"/>
        </w:rPr>
      </w:pPr>
      <w:r w:rsidRPr="00630CE0">
        <w:rPr>
          <w:rFonts w:eastAsia="Times New Roman"/>
          <w:kern w:val="0"/>
          <w14:ligatures w14:val="none"/>
        </w:rPr>
        <w:lastRenderedPageBreak/>
        <w:t xml:space="preserve">If a party does not get a full return on a subpoena duces tecum and does not ask for sanctions, a continuance, or an instanter subpoena, he waives his right to complain. Howard v. Housing Authority of New Orleans, 457 So.2d 834 (La.App. 1 Cir. 1984) </w:t>
      </w:r>
    </w:p>
    <w:p w14:paraId="1CE31500" w14:textId="77777777" w:rsidR="001728C8" w:rsidRDefault="00DB40AC" w:rsidP="00E3546F">
      <w:pPr>
        <w:shd w:val="clear" w:color="auto" w:fill="FFFFFF"/>
        <w:spacing w:after="150" w:line="240" w:lineRule="auto"/>
        <w:jc w:val="both"/>
        <w:rPr>
          <w:rFonts w:eastAsia="Times New Roman"/>
          <w:kern w:val="0"/>
          <w14:ligatures w14:val="none"/>
        </w:rPr>
      </w:pPr>
      <w:r w:rsidRPr="00630CE0">
        <w:rPr>
          <w:rFonts w:eastAsia="Times New Roman"/>
          <w:kern w:val="0"/>
          <w14:ligatures w14:val="none"/>
        </w:rPr>
        <w:t xml:space="preserve">A Referee may decline to issue an instanter subpoena for a personnel file. Sample v. Department of Corrections, 434 So.2d 1211 (La.App. 1 Cir. 1983) </w:t>
      </w:r>
    </w:p>
    <w:p w14:paraId="06524872" w14:textId="77777777" w:rsidR="001728C8" w:rsidRDefault="00DB40AC" w:rsidP="00E3546F">
      <w:pPr>
        <w:shd w:val="clear" w:color="auto" w:fill="FFFFFF"/>
        <w:spacing w:after="150" w:line="240" w:lineRule="auto"/>
        <w:jc w:val="both"/>
        <w:rPr>
          <w:rFonts w:eastAsia="Times New Roman"/>
          <w:kern w:val="0"/>
          <w14:ligatures w14:val="none"/>
        </w:rPr>
      </w:pPr>
      <w:r w:rsidRPr="00630CE0">
        <w:rPr>
          <w:rFonts w:eastAsia="Times New Roman"/>
          <w:kern w:val="0"/>
          <w14:ligatures w14:val="none"/>
        </w:rPr>
        <w:t xml:space="preserve">The Commission can refuse to issue subpoenas where the employee does not deny, but merely explains, the charges. Elliott v. Department of Public Safety, Division of State Police, 346 So.2d 839 (La.App. 1 Cir. 1977) </w:t>
      </w:r>
    </w:p>
    <w:p w14:paraId="239F4943" w14:textId="77777777" w:rsidR="001728C8" w:rsidRDefault="00DB40AC" w:rsidP="00E3546F">
      <w:pPr>
        <w:shd w:val="clear" w:color="auto" w:fill="FFFFFF"/>
        <w:spacing w:after="150" w:line="240" w:lineRule="auto"/>
        <w:jc w:val="both"/>
        <w:rPr>
          <w:rFonts w:eastAsia="Times New Roman"/>
          <w:kern w:val="0"/>
          <w14:ligatures w14:val="none"/>
        </w:rPr>
      </w:pPr>
      <w:r w:rsidRPr="00630CE0">
        <w:rPr>
          <w:rFonts w:eastAsia="Times New Roman"/>
          <w:kern w:val="0"/>
          <w14:ligatures w14:val="none"/>
        </w:rPr>
        <w:t xml:space="preserve">Rule 13.21, which states that no subpoena will be issued unless the testimony is deemed to be relevant, is constitutional. Smith v. Louisiana State Board of Health, 201 So.2d 14 (La.App. 1 Cir. 1967); Speegle v. State Department of Institutions, 198 So.2d 154 (La.App. 1 Cir. 1967); Heno v. Department of Labor, 171 So.2d 270 (La.App. 1 Cir. 1965) </w:t>
      </w:r>
    </w:p>
    <w:p w14:paraId="70D1C391" w14:textId="77777777" w:rsidR="001728C8" w:rsidRDefault="00DB40AC" w:rsidP="00E3546F">
      <w:pPr>
        <w:shd w:val="clear" w:color="auto" w:fill="FFFFFF"/>
        <w:spacing w:after="150" w:line="240" w:lineRule="auto"/>
        <w:jc w:val="both"/>
        <w:rPr>
          <w:rFonts w:eastAsia="Times New Roman"/>
          <w:kern w:val="0"/>
          <w14:ligatures w14:val="none"/>
        </w:rPr>
      </w:pPr>
      <w:r w:rsidRPr="00630CE0">
        <w:rPr>
          <w:rFonts w:eastAsia="Times New Roman"/>
          <w:kern w:val="0"/>
          <w14:ligatures w14:val="none"/>
        </w:rPr>
        <w:t xml:space="preserve">The Commission can refuse to subpoena character witnesses when character is not at issue. Smith v. Louisiana State Board of Health, 201 So.2d 14 (La.App. 1 Cir. 1967) </w:t>
      </w:r>
    </w:p>
    <w:p w14:paraId="148A671A" w14:textId="77777777" w:rsidR="001728C8" w:rsidRDefault="00DB40AC" w:rsidP="00E3546F">
      <w:pPr>
        <w:shd w:val="clear" w:color="auto" w:fill="FFFFFF"/>
        <w:spacing w:after="150" w:line="240" w:lineRule="auto"/>
        <w:jc w:val="both"/>
        <w:rPr>
          <w:rFonts w:eastAsia="Times New Roman"/>
          <w:kern w:val="0"/>
          <w14:ligatures w14:val="none"/>
        </w:rPr>
      </w:pPr>
      <w:r w:rsidRPr="00630CE0">
        <w:rPr>
          <w:rFonts w:eastAsia="Times New Roman"/>
          <w:kern w:val="0"/>
          <w14:ligatures w14:val="none"/>
        </w:rPr>
        <w:t xml:space="preserve">The Commission can refuse to issue subpoenas if the request therefor is not timely filed. Lee v. Department of Highways, 138 So.2d 36 (La.App. 1 Cir. 1962) </w:t>
      </w:r>
    </w:p>
    <w:p w14:paraId="14A207B2" w14:textId="2DC909D1" w:rsidR="00DB40AC" w:rsidRDefault="00DB40AC" w:rsidP="00E3546F">
      <w:pPr>
        <w:shd w:val="clear" w:color="auto" w:fill="FFFFFF"/>
        <w:spacing w:after="150" w:line="240" w:lineRule="auto"/>
        <w:jc w:val="both"/>
        <w:rPr>
          <w:rFonts w:eastAsia="Times New Roman"/>
          <w:kern w:val="0"/>
          <w14:ligatures w14:val="none"/>
        </w:rPr>
      </w:pPr>
      <w:r w:rsidRPr="00630CE0">
        <w:rPr>
          <w:rFonts w:eastAsia="Times New Roman"/>
          <w:kern w:val="0"/>
          <w14:ligatures w14:val="none"/>
        </w:rPr>
        <w:t>The employee failed to comply with a subpoena that he admits he received. His conduct was willful, because it was without reasonable excuse. Losing track of the days (essentially, the same thing as forgetting) is not an acceptable reason for failing to comply with a subpoena. In a previous case, we ordered forty-five day suspensions for employees who defiantly refused to appear. See Investigation of Moreau and Gathe, CSC Docket No. 4463; 10/15/84 [CSC decision]. Here, the employee testified that he intended to appear. Giving him the benefit of the doubt, his conduct, albeit willful, was not defiant. In Re: Contempt Charges against Thomas, CSC Docket No. 15367; 5/13/04 [CSC decision] 15-day suspension</w:t>
      </w:r>
    </w:p>
    <w:p w14:paraId="3531C668" w14:textId="77777777" w:rsidR="001728C8" w:rsidRPr="00630CE0" w:rsidRDefault="001728C8" w:rsidP="00E3546F">
      <w:pPr>
        <w:shd w:val="clear" w:color="auto" w:fill="FFFFFF"/>
        <w:spacing w:after="150" w:line="240" w:lineRule="auto"/>
        <w:jc w:val="both"/>
        <w:rPr>
          <w:rFonts w:eastAsia="Times New Roman"/>
          <w:kern w:val="0"/>
          <w14:ligatures w14:val="none"/>
        </w:rPr>
      </w:pPr>
    </w:p>
    <w:p w14:paraId="37328B9D" w14:textId="77777777" w:rsidR="00472C7D" w:rsidRPr="00630CE0" w:rsidRDefault="00472C7D" w:rsidP="00E3546F">
      <w:pPr>
        <w:shd w:val="clear" w:color="auto" w:fill="FFFFFF"/>
        <w:spacing w:after="0" w:line="240" w:lineRule="auto"/>
        <w:jc w:val="both"/>
        <w:rPr>
          <w:rFonts w:eastAsia="Times New Roman"/>
          <w:b/>
          <w:bCs/>
          <w:kern w:val="0"/>
          <w14:ligatures w14:val="none"/>
        </w:rPr>
      </w:pPr>
      <w:r w:rsidRPr="00630CE0">
        <w:rPr>
          <w:rFonts w:eastAsia="Times New Roman"/>
          <w:b/>
          <w:bCs/>
          <w:kern w:val="0"/>
          <w14:ligatures w14:val="none"/>
        </w:rPr>
        <w:t>13.22 Dismissal for Non-appearance at Hearing of Appeal</w:t>
      </w:r>
    </w:p>
    <w:p w14:paraId="2922CFB1" w14:textId="77777777" w:rsidR="00472C7D" w:rsidRPr="00630CE0" w:rsidRDefault="00472C7D" w:rsidP="00A75DED">
      <w:pPr>
        <w:shd w:val="clear" w:color="auto" w:fill="FFFFFF"/>
        <w:spacing w:after="150" w:line="240" w:lineRule="auto"/>
        <w:ind w:left="720" w:right="720"/>
        <w:jc w:val="both"/>
        <w:rPr>
          <w:rFonts w:eastAsia="Times New Roman"/>
          <w:kern w:val="0"/>
          <w14:ligatures w14:val="none"/>
        </w:rPr>
      </w:pPr>
      <w:proofErr w:type="gramStart"/>
      <w:r w:rsidRPr="00630CE0">
        <w:rPr>
          <w:rFonts w:eastAsia="Times New Roman"/>
          <w:kern w:val="0"/>
          <w14:ligatures w14:val="none"/>
        </w:rPr>
        <w:t>(a) If</w:t>
      </w:r>
      <w:proofErr w:type="gramEnd"/>
      <w:r w:rsidRPr="00630CE0">
        <w:rPr>
          <w:rFonts w:eastAsia="Times New Roman"/>
          <w:kern w:val="0"/>
          <w14:ligatures w14:val="none"/>
        </w:rPr>
        <w:t xml:space="preserve"> neither the appointing authority nor his counsel appears at the place and time fixed for a hearing in which a disciplinary action is at issue without having been granted a continuance, the Commission or the referee may order the disciplinary action reversed.</w:t>
      </w:r>
    </w:p>
    <w:p w14:paraId="378681FB" w14:textId="77777777" w:rsidR="00472C7D" w:rsidRPr="00630CE0" w:rsidRDefault="00472C7D" w:rsidP="00A75DED">
      <w:pPr>
        <w:shd w:val="clear" w:color="auto" w:fill="FFFFFF"/>
        <w:spacing w:after="150" w:line="240" w:lineRule="auto"/>
        <w:ind w:left="720" w:right="720"/>
        <w:jc w:val="both"/>
        <w:rPr>
          <w:rFonts w:eastAsia="Times New Roman"/>
          <w:kern w:val="0"/>
          <w14:ligatures w14:val="none"/>
        </w:rPr>
      </w:pPr>
      <w:r w:rsidRPr="00630CE0">
        <w:rPr>
          <w:rFonts w:eastAsia="Times New Roman"/>
          <w:kern w:val="0"/>
          <w14:ligatures w14:val="none"/>
        </w:rPr>
        <w:t>(b) If neither the appellant nor his counsel appears at the place and time fixed for any hearing, without having been granted a continuance, the Commission or the referee may order the appeal dismissed.</w:t>
      </w:r>
    </w:p>
    <w:p w14:paraId="3E355B5E" w14:textId="77777777" w:rsidR="00472C7D" w:rsidRPr="00630CE0" w:rsidRDefault="00472C7D" w:rsidP="00A75DED">
      <w:pPr>
        <w:shd w:val="clear" w:color="auto" w:fill="FFFFFF"/>
        <w:spacing w:after="150" w:line="240" w:lineRule="auto"/>
        <w:ind w:left="720" w:right="720"/>
        <w:jc w:val="both"/>
        <w:rPr>
          <w:rFonts w:eastAsia="Times New Roman"/>
          <w:kern w:val="0"/>
          <w14:ligatures w14:val="none"/>
        </w:rPr>
      </w:pPr>
      <w:r w:rsidRPr="00630CE0">
        <w:rPr>
          <w:rFonts w:eastAsia="Times New Roman"/>
          <w:kern w:val="0"/>
          <w14:ligatures w14:val="none"/>
        </w:rPr>
        <w:t>(c) If either the appellee or the appellant fails to appear at the place and time fixed for any hearing, but counsel for the absent party is present, the absent party shall be deemed to have waived his appearance and the hearing shall proceed and testimony may be taken in the absence of the party with the same effect as if the party were present.</w:t>
      </w:r>
    </w:p>
    <w:p w14:paraId="1FFEEF2E" w14:textId="77777777" w:rsidR="00472C7D" w:rsidRPr="00630CE0" w:rsidRDefault="00472C7D" w:rsidP="00A75DED">
      <w:pPr>
        <w:shd w:val="clear" w:color="auto" w:fill="FFFFFF"/>
        <w:spacing w:after="150" w:line="240" w:lineRule="auto"/>
        <w:ind w:left="720" w:right="720"/>
        <w:jc w:val="both"/>
        <w:rPr>
          <w:rFonts w:eastAsia="Times New Roman"/>
          <w:kern w:val="0"/>
          <w14:ligatures w14:val="none"/>
        </w:rPr>
      </w:pPr>
      <w:proofErr w:type="gramStart"/>
      <w:r w:rsidRPr="00630CE0">
        <w:rPr>
          <w:rFonts w:eastAsia="Times New Roman"/>
          <w:kern w:val="0"/>
          <w14:ligatures w14:val="none"/>
        </w:rPr>
        <w:t>(d) Nothing</w:t>
      </w:r>
      <w:proofErr w:type="gramEnd"/>
      <w:r w:rsidRPr="00630CE0">
        <w:rPr>
          <w:rFonts w:eastAsia="Times New Roman"/>
          <w:kern w:val="0"/>
          <w14:ligatures w14:val="none"/>
        </w:rPr>
        <w:t xml:space="preserve"> in this Rule shall prevent the Commission or a referee from continuing the appeal if it or he learns the reason for the absence of the party and his attorney and determines that the party and his attorney were absent due to circumstances beyond their control.</w:t>
      </w:r>
    </w:p>
    <w:p w14:paraId="64AFDCCD" w14:textId="26C6C195" w:rsidR="0013747D" w:rsidRPr="00630CE0" w:rsidRDefault="0013747D" w:rsidP="00E3546F">
      <w:pPr>
        <w:shd w:val="clear" w:color="auto" w:fill="FFFFFF"/>
        <w:spacing w:after="150" w:line="240" w:lineRule="auto"/>
        <w:jc w:val="both"/>
        <w:rPr>
          <w:rFonts w:eastAsia="Times New Roman"/>
          <w:kern w:val="0"/>
          <w14:ligatures w14:val="none"/>
        </w:rPr>
      </w:pPr>
      <w:r w:rsidRPr="00630CE0">
        <w:rPr>
          <w:rFonts w:eastAsia="Times New Roman"/>
          <w:kern w:val="0"/>
          <w14:ligatures w14:val="none"/>
        </w:rPr>
        <w:t>Rule 13.22 – Dismissal for Failure of Parties to Appear [See also Rule 13.14(a)5.] - Annotations</w:t>
      </w:r>
    </w:p>
    <w:p w14:paraId="5CC44005" w14:textId="02526479" w:rsidR="00846291" w:rsidRDefault="0013747D" w:rsidP="00E3546F">
      <w:pPr>
        <w:shd w:val="clear" w:color="auto" w:fill="FFFFFF"/>
        <w:spacing w:after="150" w:line="240" w:lineRule="auto"/>
        <w:jc w:val="both"/>
        <w:rPr>
          <w:rFonts w:eastAsia="Times New Roman"/>
          <w:kern w:val="0"/>
          <w14:ligatures w14:val="none"/>
        </w:rPr>
      </w:pPr>
      <w:r w:rsidRPr="00630CE0">
        <w:rPr>
          <w:rFonts w:eastAsia="Times New Roman"/>
          <w:kern w:val="0"/>
          <w14:ligatures w14:val="none"/>
        </w:rPr>
        <w:lastRenderedPageBreak/>
        <w:t xml:space="preserve">The employee’s failure to appear at any of the three hearings, despite having been subpoenaed for two, was an act of contempt. Under the civil service rules, great discretion is accorded to the Commission and its Referees in determining an appropriate sanction for an act of contempt. However, it was an abuse of discretion for the Referee or the Commission to refuse to impose a sanction on a litigant who flagrantly and willfully, without justification, violates a subpoena issued by the Referee. At a minimum, the appeal should have been dismissed. Cheaton v. Louisiana Public Service Commission, 94-1358 and 94-1359 (La.App. 1 Cir. 12/15/95); 690 So.2d 46 </w:t>
      </w:r>
    </w:p>
    <w:p w14:paraId="11C37003" w14:textId="77777777" w:rsidR="00846291" w:rsidRDefault="0013747D" w:rsidP="00E3546F">
      <w:pPr>
        <w:shd w:val="clear" w:color="auto" w:fill="FFFFFF"/>
        <w:spacing w:after="150" w:line="240" w:lineRule="auto"/>
        <w:jc w:val="both"/>
        <w:rPr>
          <w:rFonts w:eastAsia="Times New Roman"/>
          <w:kern w:val="0"/>
          <w14:ligatures w14:val="none"/>
        </w:rPr>
      </w:pPr>
      <w:r w:rsidRPr="00630CE0">
        <w:rPr>
          <w:rFonts w:eastAsia="Times New Roman"/>
          <w:kern w:val="0"/>
          <w14:ligatures w14:val="none"/>
        </w:rPr>
        <w:t>An appeal may be dismissed when a motion for continuance is denied and neither the employee nor her attorney appeared at the hearing. Jacomet v. T. H. Harris Vocational</w:t>
      </w:r>
      <w:r w:rsidR="00846291">
        <w:rPr>
          <w:rFonts w:eastAsia="Times New Roman"/>
          <w:kern w:val="0"/>
          <w14:ligatures w14:val="none"/>
        </w:rPr>
        <w:t xml:space="preserve"> </w:t>
      </w:r>
      <w:r w:rsidRPr="00630CE0">
        <w:rPr>
          <w:rFonts w:eastAsia="Times New Roman"/>
          <w:kern w:val="0"/>
          <w14:ligatures w14:val="none"/>
        </w:rPr>
        <w:t xml:space="preserve">Technical School, 491 So.2d 59 (La.App. 1 Cir. 1986) </w:t>
      </w:r>
    </w:p>
    <w:p w14:paraId="0C7AD167" w14:textId="77777777" w:rsidR="00846291" w:rsidRDefault="0013747D" w:rsidP="00E3546F">
      <w:pPr>
        <w:shd w:val="clear" w:color="auto" w:fill="FFFFFF"/>
        <w:spacing w:after="150" w:line="240" w:lineRule="auto"/>
        <w:jc w:val="both"/>
        <w:rPr>
          <w:rFonts w:eastAsia="Times New Roman"/>
          <w:kern w:val="0"/>
          <w14:ligatures w14:val="none"/>
        </w:rPr>
      </w:pPr>
      <w:r w:rsidRPr="00630CE0">
        <w:rPr>
          <w:rFonts w:eastAsia="Times New Roman"/>
          <w:kern w:val="0"/>
          <w14:ligatures w14:val="none"/>
        </w:rPr>
        <w:t xml:space="preserve">An appeal cannot be dismissed for non-appearance of the employee if the Commission fails to provide notice of the hearing and the employee was not remiss. Smith v. Department of Health and Human Resources, 432 So.2d 997 (La.App. 1 Cir. 1983) </w:t>
      </w:r>
    </w:p>
    <w:p w14:paraId="4527303F" w14:textId="76F4129C" w:rsidR="0013747D" w:rsidRPr="00630CE0" w:rsidRDefault="0013747D" w:rsidP="00E3546F">
      <w:pPr>
        <w:shd w:val="clear" w:color="auto" w:fill="FFFFFF"/>
        <w:spacing w:after="150" w:line="240" w:lineRule="auto"/>
        <w:jc w:val="both"/>
        <w:rPr>
          <w:rFonts w:eastAsia="Times New Roman"/>
          <w:kern w:val="0"/>
          <w14:ligatures w14:val="none"/>
        </w:rPr>
      </w:pPr>
      <w:r w:rsidRPr="00630CE0">
        <w:rPr>
          <w:rFonts w:eastAsia="Times New Roman"/>
          <w:kern w:val="0"/>
          <w14:ligatures w14:val="none"/>
        </w:rPr>
        <w:t xml:space="preserve">The Commission abused its discretion in dismissing the appeal on the ground that the employee abandoned his appeal before the Commission, in that the employee, who was present at time set for hearing, but whose attorney was not present, and who objected to proceedings and left the hearing midway through the state's first witness, had the right to be represented by counsel. The Commission should have granted </w:t>
      </w:r>
      <w:proofErr w:type="gramStart"/>
      <w:r w:rsidRPr="00630CE0">
        <w:rPr>
          <w:rFonts w:eastAsia="Times New Roman"/>
          <w:kern w:val="0"/>
          <w14:ligatures w14:val="none"/>
        </w:rPr>
        <w:t>a continuance</w:t>
      </w:r>
      <w:proofErr w:type="gramEnd"/>
      <w:r w:rsidRPr="00630CE0">
        <w:rPr>
          <w:rFonts w:eastAsia="Times New Roman"/>
          <w:kern w:val="0"/>
          <w14:ligatures w14:val="none"/>
        </w:rPr>
        <w:t xml:space="preserve"> to serve the ends of justice by permitting the employee to secure adequate representation. Gautreaux v. Division of State Buildings and Grounds, 395 So.2d 388 (La.App. 1 Cir. 1981)</w:t>
      </w:r>
    </w:p>
    <w:p w14:paraId="7F0995DF" w14:textId="77777777" w:rsidR="00472C7D" w:rsidRPr="00630CE0" w:rsidRDefault="00472C7D" w:rsidP="00E3546F">
      <w:pPr>
        <w:shd w:val="clear" w:color="auto" w:fill="FFFFFF"/>
        <w:spacing w:after="0" w:line="240" w:lineRule="auto"/>
        <w:jc w:val="both"/>
        <w:rPr>
          <w:rFonts w:eastAsia="Times New Roman"/>
          <w:b/>
          <w:bCs/>
          <w:kern w:val="0"/>
          <w14:ligatures w14:val="none"/>
        </w:rPr>
      </w:pPr>
      <w:r w:rsidRPr="00630CE0">
        <w:rPr>
          <w:rFonts w:eastAsia="Times New Roman"/>
          <w:b/>
          <w:bCs/>
          <w:kern w:val="0"/>
          <w14:ligatures w14:val="none"/>
        </w:rPr>
        <w:t>13.25 Refusal to Appear; Refusal to Testify; False Testimony</w:t>
      </w:r>
    </w:p>
    <w:p w14:paraId="2DC78DF0" w14:textId="77777777" w:rsidR="00472C7D" w:rsidRPr="00630CE0" w:rsidRDefault="00472C7D" w:rsidP="00A75DED">
      <w:pPr>
        <w:shd w:val="clear" w:color="auto" w:fill="FFFFFF"/>
        <w:spacing w:after="150" w:line="240" w:lineRule="auto"/>
        <w:ind w:left="720" w:right="720"/>
        <w:jc w:val="both"/>
        <w:rPr>
          <w:rFonts w:eastAsia="Times New Roman"/>
          <w:kern w:val="0"/>
          <w14:ligatures w14:val="none"/>
        </w:rPr>
      </w:pPr>
      <w:r w:rsidRPr="00630CE0">
        <w:rPr>
          <w:rFonts w:eastAsia="Times New Roman"/>
          <w:kern w:val="0"/>
          <w14:ligatures w14:val="none"/>
        </w:rPr>
        <w:t xml:space="preserve">(a) Any officer or employee in the classified service who </w:t>
      </w:r>
      <w:proofErr w:type="spellStart"/>
      <w:r w:rsidRPr="00630CE0">
        <w:rPr>
          <w:rFonts w:eastAsia="Times New Roman"/>
          <w:kern w:val="0"/>
          <w14:ligatures w14:val="none"/>
        </w:rPr>
        <w:t>wilfully</w:t>
      </w:r>
      <w:proofErr w:type="spellEnd"/>
      <w:r w:rsidRPr="00630CE0">
        <w:rPr>
          <w:rFonts w:eastAsia="Times New Roman"/>
          <w:kern w:val="0"/>
          <w14:ligatures w14:val="none"/>
        </w:rPr>
        <w:t xml:space="preserve"> refuses or fails to appear before the Commission or its Referee in response to a subpoena or a request under the provisions of Rule 13.21, or having appeared refuses to testify or answer any question pertinent to the matters under consideration or who knowingly gives false testimony or who knowingly solicits, condones, or accepts, without refutation, false, or misleading testimony given by any witness in his/her behalf at a hearing, or who fails to produce any books, papers, photographs, or other items pertinent to the hearing may be found by the Commission or the Referee to be guilty of contempt in accordance with these Rules and, in addition to that which is provided for in these Rules, may be found by the Commission to have forfeited his office or position and may be found by the Commission not to be eligible thereafter for appointment to any position in the classified service for a period not to exceed ten years or be subject to a suspension from his position.</w:t>
      </w:r>
    </w:p>
    <w:p w14:paraId="5B9D08D4" w14:textId="77777777" w:rsidR="00472C7D" w:rsidRPr="00630CE0" w:rsidRDefault="00472C7D" w:rsidP="00A75DED">
      <w:pPr>
        <w:shd w:val="clear" w:color="auto" w:fill="FFFFFF"/>
        <w:spacing w:after="150" w:line="240" w:lineRule="auto"/>
        <w:ind w:left="720" w:right="720"/>
        <w:jc w:val="both"/>
        <w:rPr>
          <w:rFonts w:eastAsia="Times New Roman"/>
          <w:kern w:val="0"/>
          <w14:ligatures w14:val="none"/>
        </w:rPr>
      </w:pPr>
      <w:r w:rsidRPr="00630CE0">
        <w:rPr>
          <w:rFonts w:eastAsia="Times New Roman"/>
          <w:kern w:val="0"/>
          <w14:ligatures w14:val="none"/>
        </w:rPr>
        <w:t xml:space="preserve">(b) Any person who </w:t>
      </w:r>
      <w:proofErr w:type="spellStart"/>
      <w:r w:rsidRPr="00630CE0">
        <w:rPr>
          <w:rFonts w:eastAsia="Times New Roman"/>
          <w:kern w:val="0"/>
          <w14:ligatures w14:val="none"/>
        </w:rPr>
        <w:t>wilfully</w:t>
      </w:r>
      <w:proofErr w:type="spellEnd"/>
      <w:r w:rsidRPr="00630CE0">
        <w:rPr>
          <w:rFonts w:eastAsia="Times New Roman"/>
          <w:kern w:val="0"/>
          <w14:ligatures w14:val="none"/>
        </w:rPr>
        <w:t xml:space="preserve"> fails to appear in response to a subpoena or to an order issued under the provisions of Rule 13.21 hereof, or who </w:t>
      </w:r>
      <w:proofErr w:type="spellStart"/>
      <w:r w:rsidRPr="00630CE0">
        <w:rPr>
          <w:rFonts w:eastAsia="Times New Roman"/>
          <w:kern w:val="0"/>
          <w14:ligatures w14:val="none"/>
        </w:rPr>
        <w:t>wilfully</w:t>
      </w:r>
      <w:proofErr w:type="spellEnd"/>
      <w:r w:rsidRPr="00630CE0">
        <w:rPr>
          <w:rFonts w:eastAsia="Times New Roman"/>
          <w:kern w:val="0"/>
          <w14:ligatures w14:val="none"/>
        </w:rPr>
        <w:t xml:space="preserve"> fails to answer any questions or to produce any books, papers, photographs, or other items pertinent to any hearing before the Commission or a Referee, or who knowingly gives false testimony or who knowingly solicits, condones, or accepts, without refutation, false, or misleading testimony given by any witness in his/her behalf at any such hearing may be found guilty of contempt by the Commission or the Referee in accordance with these Rules.</w:t>
      </w:r>
    </w:p>
    <w:p w14:paraId="32688249" w14:textId="77777777" w:rsidR="00472C7D" w:rsidRPr="00630CE0" w:rsidRDefault="00472C7D" w:rsidP="00A75DED">
      <w:pPr>
        <w:shd w:val="clear" w:color="auto" w:fill="FFFFFF"/>
        <w:spacing w:after="150" w:line="240" w:lineRule="auto"/>
        <w:ind w:left="720" w:right="720"/>
        <w:jc w:val="both"/>
        <w:rPr>
          <w:rFonts w:eastAsia="Times New Roman"/>
          <w:kern w:val="0"/>
          <w14:ligatures w14:val="none"/>
        </w:rPr>
      </w:pPr>
      <w:r w:rsidRPr="00630CE0">
        <w:rPr>
          <w:rFonts w:eastAsia="Times New Roman"/>
          <w:kern w:val="0"/>
          <w14:ligatures w14:val="none"/>
        </w:rPr>
        <w:t>(c) Any officer or employee required to testify shall not be subjected to any disciplinary action by his appointing authority because he so testifies.</w:t>
      </w:r>
    </w:p>
    <w:p w14:paraId="43D6C4B1" w14:textId="60B186B4" w:rsidR="006B00BC" w:rsidRPr="00630CE0" w:rsidRDefault="006B00BC" w:rsidP="00E3546F">
      <w:pPr>
        <w:shd w:val="clear" w:color="auto" w:fill="FFFFFF"/>
        <w:spacing w:after="150" w:line="240" w:lineRule="auto"/>
        <w:jc w:val="both"/>
        <w:rPr>
          <w:rFonts w:eastAsia="Times New Roman"/>
          <w:kern w:val="0"/>
          <w14:ligatures w14:val="none"/>
        </w:rPr>
      </w:pPr>
      <w:r w:rsidRPr="00630CE0">
        <w:rPr>
          <w:rFonts w:eastAsia="Times New Roman"/>
          <w:kern w:val="0"/>
          <w14:ligatures w14:val="none"/>
        </w:rPr>
        <w:t>Rule 13.25 – Failure to Appear and/or Testify – Annotations</w:t>
      </w:r>
    </w:p>
    <w:p w14:paraId="25D8DF6F" w14:textId="4DF47327" w:rsidR="006B00BC" w:rsidRPr="00630CE0" w:rsidRDefault="006B00BC" w:rsidP="00E3546F">
      <w:pPr>
        <w:shd w:val="clear" w:color="auto" w:fill="FFFFFF"/>
        <w:spacing w:after="150" w:line="240" w:lineRule="auto"/>
        <w:jc w:val="both"/>
        <w:rPr>
          <w:rFonts w:eastAsia="Times New Roman"/>
          <w:kern w:val="0"/>
          <w14:ligatures w14:val="none"/>
        </w:rPr>
      </w:pPr>
      <w:r w:rsidRPr="00630CE0">
        <w:rPr>
          <w:rFonts w:eastAsia="Times New Roman"/>
          <w:kern w:val="0"/>
          <w14:ligatures w14:val="none"/>
        </w:rPr>
        <w:lastRenderedPageBreak/>
        <w:t>It is the employee’s conduct in failing to appear at the hearings that should have been the Referee’s focus in determining whether he was in fact in contempt of the proceedings, rather than whether his testimony would have been taken on the days he was absent. Cheaton v. Louisiana Public Service Commission, 94-1358 and 94-1359 (La.App. 1 Cir. 12/15/95); 690 So.2d 46</w:t>
      </w:r>
    </w:p>
    <w:p w14:paraId="40809DBE" w14:textId="77777777" w:rsidR="007A5287" w:rsidRPr="00630CE0" w:rsidRDefault="007A5287" w:rsidP="00E3546F">
      <w:pPr>
        <w:shd w:val="clear" w:color="auto" w:fill="FFFFFF"/>
        <w:spacing w:after="0" w:line="240" w:lineRule="auto"/>
        <w:jc w:val="both"/>
        <w:rPr>
          <w:rFonts w:eastAsia="Times New Roman"/>
          <w:b/>
          <w:bCs/>
          <w:kern w:val="0"/>
          <w14:ligatures w14:val="none"/>
        </w:rPr>
      </w:pPr>
      <w:r w:rsidRPr="00630CE0">
        <w:rPr>
          <w:rFonts w:eastAsia="Times New Roman"/>
          <w:b/>
          <w:bCs/>
          <w:kern w:val="0"/>
          <w14:ligatures w14:val="none"/>
        </w:rPr>
        <w:t>13.27 Witness Fees</w:t>
      </w:r>
    </w:p>
    <w:p w14:paraId="2130513A" w14:textId="3945B5C1" w:rsidR="007A5287" w:rsidRPr="00630CE0" w:rsidRDefault="007A5287" w:rsidP="00A75DED">
      <w:pPr>
        <w:shd w:val="clear" w:color="auto" w:fill="FFFFFF"/>
        <w:spacing w:after="150" w:line="240" w:lineRule="auto"/>
        <w:ind w:left="720" w:right="720"/>
        <w:jc w:val="both"/>
        <w:rPr>
          <w:rFonts w:eastAsia="Times New Roman"/>
          <w:kern w:val="0"/>
          <w14:ligatures w14:val="none"/>
        </w:rPr>
      </w:pPr>
      <w:r w:rsidRPr="00630CE0">
        <w:rPr>
          <w:rFonts w:eastAsia="Times New Roman"/>
          <w:kern w:val="0"/>
          <w14:ligatures w14:val="none"/>
        </w:rPr>
        <w:t>(a) The travel expenses of an officer or employee other than the appellant who is required to appear before the Commission or a referee in the hearing of an appeal shall be paid by the department which employs him.</w:t>
      </w:r>
    </w:p>
    <w:p w14:paraId="55A8D152" w14:textId="77777777" w:rsidR="007A5287" w:rsidRPr="00630CE0" w:rsidRDefault="007A5287" w:rsidP="00A75DED">
      <w:pPr>
        <w:shd w:val="clear" w:color="auto" w:fill="FFFFFF"/>
        <w:spacing w:after="150" w:line="240" w:lineRule="auto"/>
        <w:ind w:left="720" w:right="720"/>
        <w:jc w:val="both"/>
        <w:rPr>
          <w:rFonts w:eastAsia="Times New Roman"/>
          <w:kern w:val="0"/>
          <w14:ligatures w14:val="none"/>
        </w:rPr>
      </w:pPr>
      <w:r w:rsidRPr="00630CE0">
        <w:rPr>
          <w:rFonts w:eastAsia="Times New Roman"/>
          <w:kern w:val="0"/>
          <w14:ligatures w14:val="none"/>
        </w:rPr>
        <w:t>(b) The Commission or the referee may order that any person who is not an officer or employee of a department and who is subpoenaed to testify at a hearing shall be entitled to the same mileage and fees as are allowed witnesses in civil cases by the Nineteenth Judicial Court for the Parish of East Baton Rouge.</w:t>
      </w:r>
    </w:p>
    <w:p w14:paraId="487319EB" w14:textId="77777777" w:rsidR="007A5287" w:rsidRPr="00630CE0" w:rsidRDefault="007A5287" w:rsidP="00A75DED">
      <w:pPr>
        <w:shd w:val="clear" w:color="auto" w:fill="FFFFFF"/>
        <w:spacing w:after="150" w:line="240" w:lineRule="auto"/>
        <w:ind w:left="720" w:right="720"/>
        <w:jc w:val="both"/>
        <w:rPr>
          <w:rFonts w:eastAsia="Times New Roman"/>
          <w:kern w:val="0"/>
          <w14:ligatures w14:val="none"/>
        </w:rPr>
      </w:pPr>
      <w:r w:rsidRPr="00630CE0">
        <w:rPr>
          <w:rFonts w:eastAsia="Times New Roman"/>
          <w:kern w:val="0"/>
          <w14:ligatures w14:val="none"/>
        </w:rPr>
        <w:t>(c) Witness fees and travel expenses may be taxed to either party, in the Commission's or the referee's discretion.</w:t>
      </w:r>
    </w:p>
    <w:p w14:paraId="02B63221" w14:textId="77777777" w:rsidR="007A5287" w:rsidRPr="00630CE0" w:rsidRDefault="007A5287" w:rsidP="00A75DED">
      <w:pPr>
        <w:shd w:val="clear" w:color="auto" w:fill="FFFFFF"/>
        <w:spacing w:after="150" w:line="240" w:lineRule="auto"/>
        <w:ind w:left="720" w:right="720"/>
        <w:jc w:val="both"/>
        <w:rPr>
          <w:rFonts w:eastAsia="Times New Roman"/>
          <w:kern w:val="0"/>
          <w14:ligatures w14:val="none"/>
        </w:rPr>
      </w:pPr>
      <w:r w:rsidRPr="00630CE0">
        <w:rPr>
          <w:rFonts w:eastAsia="Times New Roman"/>
          <w:kern w:val="0"/>
          <w14:ligatures w14:val="none"/>
        </w:rPr>
        <w:t>(d) The Commission and any person authorized to issue a subpoena may before doing so, require the party requesting a subpoena of one other than an officer or employee of a department to deposit with the Director a sum sufficient to cover the mileage and witness fees pending a determination of costs by the Commission or the referee.</w:t>
      </w:r>
    </w:p>
    <w:p w14:paraId="37C9D26F" w14:textId="77777777" w:rsidR="00E329D6" w:rsidRPr="00630CE0" w:rsidRDefault="00E329D6" w:rsidP="00E3546F">
      <w:pPr>
        <w:jc w:val="both"/>
      </w:pPr>
    </w:p>
    <w:sectPr w:rsidR="00E329D6" w:rsidRPr="00630C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F308C0"/>
    <w:multiLevelType w:val="hybridMultilevel"/>
    <w:tmpl w:val="183E645E"/>
    <w:lvl w:ilvl="0" w:tplc="B3B6F0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DD11B33"/>
    <w:multiLevelType w:val="hybridMultilevel"/>
    <w:tmpl w:val="7270B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8770271">
    <w:abstractNumId w:val="1"/>
  </w:num>
  <w:num w:numId="2" w16cid:durableId="329678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7D"/>
    <w:rsid w:val="00053648"/>
    <w:rsid w:val="000B5C2C"/>
    <w:rsid w:val="0012324B"/>
    <w:rsid w:val="0013747D"/>
    <w:rsid w:val="001728C8"/>
    <w:rsid w:val="001B0012"/>
    <w:rsid w:val="0022255B"/>
    <w:rsid w:val="002606C5"/>
    <w:rsid w:val="00261FE1"/>
    <w:rsid w:val="00272624"/>
    <w:rsid w:val="002B4936"/>
    <w:rsid w:val="003C219B"/>
    <w:rsid w:val="003E75C3"/>
    <w:rsid w:val="00401332"/>
    <w:rsid w:val="00440AAF"/>
    <w:rsid w:val="00472C7D"/>
    <w:rsid w:val="004C1C8F"/>
    <w:rsid w:val="004E1391"/>
    <w:rsid w:val="00587EC4"/>
    <w:rsid w:val="006168A2"/>
    <w:rsid w:val="00621DA6"/>
    <w:rsid w:val="0062431E"/>
    <w:rsid w:val="00630CE0"/>
    <w:rsid w:val="006B00BC"/>
    <w:rsid w:val="0074744F"/>
    <w:rsid w:val="007A5287"/>
    <w:rsid w:val="008439BC"/>
    <w:rsid w:val="00846291"/>
    <w:rsid w:val="008C167D"/>
    <w:rsid w:val="00997013"/>
    <w:rsid w:val="00A10D8A"/>
    <w:rsid w:val="00A26713"/>
    <w:rsid w:val="00A67F1C"/>
    <w:rsid w:val="00A75DED"/>
    <w:rsid w:val="00AF4551"/>
    <w:rsid w:val="00B71E89"/>
    <w:rsid w:val="00BC451E"/>
    <w:rsid w:val="00BF716D"/>
    <w:rsid w:val="00C03C4F"/>
    <w:rsid w:val="00D20AF9"/>
    <w:rsid w:val="00D51C83"/>
    <w:rsid w:val="00D73D0D"/>
    <w:rsid w:val="00DB40AC"/>
    <w:rsid w:val="00DC2658"/>
    <w:rsid w:val="00E329D6"/>
    <w:rsid w:val="00E3546F"/>
    <w:rsid w:val="00E35796"/>
    <w:rsid w:val="00EE2476"/>
    <w:rsid w:val="00EE3A21"/>
    <w:rsid w:val="00FF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F0E8C"/>
  <w15:chartTrackingRefBased/>
  <w15:docId w15:val="{EEAB4C7D-229C-4F2B-A086-50FE1534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2C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2C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2C7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2C7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72C7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72C7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72C7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72C7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72C7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21DA6"/>
    <w:pPr>
      <w:framePr w:w="7920" w:h="1980" w:hRule="exact" w:hSpace="180" w:wrap="auto" w:hAnchor="page" w:xAlign="center" w:yAlign="bottom"/>
      <w:spacing w:after="0" w:line="240" w:lineRule="auto"/>
      <w:ind w:left="2880"/>
    </w:pPr>
    <w:rPr>
      <w:rFonts w:eastAsiaTheme="majorEastAsia" w:cstheme="majorBidi"/>
      <w:b/>
      <w:caps/>
      <w:sz w:val="28"/>
      <w:szCs w:val="24"/>
    </w:rPr>
  </w:style>
  <w:style w:type="character" w:customStyle="1" w:styleId="Heading1Char">
    <w:name w:val="Heading 1 Char"/>
    <w:basedOn w:val="DefaultParagraphFont"/>
    <w:link w:val="Heading1"/>
    <w:uiPriority w:val="9"/>
    <w:rsid w:val="00472C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2C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2C7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2C7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72C7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72C7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72C7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72C7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72C7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72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2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2C7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2C7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72C7D"/>
    <w:pPr>
      <w:spacing w:before="160"/>
      <w:jc w:val="center"/>
    </w:pPr>
    <w:rPr>
      <w:i/>
      <w:iCs/>
      <w:color w:val="404040" w:themeColor="text1" w:themeTint="BF"/>
    </w:rPr>
  </w:style>
  <w:style w:type="character" w:customStyle="1" w:styleId="QuoteChar">
    <w:name w:val="Quote Char"/>
    <w:basedOn w:val="DefaultParagraphFont"/>
    <w:link w:val="Quote"/>
    <w:uiPriority w:val="29"/>
    <w:rsid w:val="00472C7D"/>
    <w:rPr>
      <w:i/>
      <w:iCs/>
      <w:color w:val="404040" w:themeColor="text1" w:themeTint="BF"/>
    </w:rPr>
  </w:style>
  <w:style w:type="paragraph" w:styleId="ListParagraph">
    <w:name w:val="List Paragraph"/>
    <w:basedOn w:val="Normal"/>
    <w:uiPriority w:val="34"/>
    <w:qFormat/>
    <w:rsid w:val="00472C7D"/>
    <w:pPr>
      <w:ind w:left="720"/>
      <w:contextualSpacing/>
    </w:pPr>
  </w:style>
  <w:style w:type="character" w:styleId="IntenseEmphasis">
    <w:name w:val="Intense Emphasis"/>
    <w:basedOn w:val="DefaultParagraphFont"/>
    <w:uiPriority w:val="21"/>
    <w:qFormat/>
    <w:rsid w:val="00472C7D"/>
    <w:rPr>
      <w:i/>
      <w:iCs/>
      <w:color w:val="0F4761" w:themeColor="accent1" w:themeShade="BF"/>
    </w:rPr>
  </w:style>
  <w:style w:type="paragraph" w:styleId="IntenseQuote">
    <w:name w:val="Intense Quote"/>
    <w:basedOn w:val="Normal"/>
    <w:next w:val="Normal"/>
    <w:link w:val="IntenseQuoteChar"/>
    <w:uiPriority w:val="30"/>
    <w:qFormat/>
    <w:rsid w:val="00472C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2C7D"/>
    <w:rPr>
      <w:i/>
      <w:iCs/>
      <w:color w:val="0F4761" w:themeColor="accent1" w:themeShade="BF"/>
    </w:rPr>
  </w:style>
  <w:style w:type="character" w:styleId="IntenseReference">
    <w:name w:val="Intense Reference"/>
    <w:basedOn w:val="DefaultParagraphFont"/>
    <w:uiPriority w:val="32"/>
    <w:qFormat/>
    <w:rsid w:val="00472C7D"/>
    <w:rPr>
      <w:b/>
      <w:bCs/>
      <w:smallCaps/>
      <w:color w:val="0F4761" w:themeColor="accent1" w:themeShade="BF"/>
      <w:spacing w:val="5"/>
    </w:rPr>
  </w:style>
  <w:style w:type="paragraph" w:styleId="NormalWeb">
    <w:name w:val="Normal (Web)"/>
    <w:basedOn w:val="Normal"/>
    <w:uiPriority w:val="99"/>
    <w:semiHidden/>
    <w:unhideWhenUsed/>
    <w:rsid w:val="00A10D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E3546F"/>
    <w:rPr>
      <w:color w:val="467886" w:themeColor="hyperlink"/>
      <w:u w:val="single"/>
    </w:rPr>
  </w:style>
  <w:style w:type="character" w:styleId="UnresolvedMention">
    <w:name w:val="Unresolved Mention"/>
    <w:basedOn w:val="DefaultParagraphFont"/>
    <w:uiPriority w:val="99"/>
    <w:semiHidden/>
    <w:unhideWhenUsed/>
    <w:rsid w:val="00E3546F"/>
    <w:rPr>
      <w:color w:val="605E5C"/>
      <w:shd w:val="clear" w:color="auto" w:fill="E1DFDD"/>
    </w:rPr>
  </w:style>
  <w:style w:type="paragraph" w:styleId="Revision">
    <w:name w:val="Revision"/>
    <w:hidden/>
    <w:uiPriority w:val="99"/>
    <w:semiHidden/>
    <w:rsid w:val="00EE24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65303">
      <w:bodyDiv w:val="1"/>
      <w:marLeft w:val="0"/>
      <w:marRight w:val="0"/>
      <w:marTop w:val="0"/>
      <w:marBottom w:val="0"/>
      <w:divBdr>
        <w:top w:val="none" w:sz="0" w:space="0" w:color="auto"/>
        <w:left w:val="none" w:sz="0" w:space="0" w:color="auto"/>
        <w:bottom w:val="none" w:sz="0" w:space="0" w:color="auto"/>
        <w:right w:val="none" w:sz="0" w:space="0" w:color="auto"/>
      </w:divBdr>
    </w:div>
    <w:div w:id="1624118582">
      <w:bodyDiv w:val="1"/>
      <w:marLeft w:val="0"/>
      <w:marRight w:val="0"/>
      <w:marTop w:val="0"/>
      <w:marBottom w:val="0"/>
      <w:divBdr>
        <w:top w:val="none" w:sz="0" w:space="0" w:color="auto"/>
        <w:left w:val="none" w:sz="0" w:space="0" w:color="auto"/>
        <w:bottom w:val="none" w:sz="0" w:space="0" w:color="auto"/>
        <w:right w:val="none" w:sz="0" w:space="0" w:color="auto"/>
      </w:divBdr>
      <w:divsChild>
        <w:div w:id="1763142378">
          <w:marLeft w:val="0"/>
          <w:marRight w:val="0"/>
          <w:marTop w:val="300"/>
          <w:marBottom w:val="0"/>
          <w:divBdr>
            <w:top w:val="none" w:sz="0" w:space="0" w:color="auto"/>
            <w:left w:val="none" w:sz="0" w:space="0" w:color="auto"/>
            <w:bottom w:val="single" w:sz="6" w:space="2" w:color="0662A2"/>
            <w:right w:val="none" w:sz="0" w:space="0" w:color="auto"/>
          </w:divBdr>
        </w:div>
        <w:div w:id="678699430">
          <w:marLeft w:val="225"/>
          <w:marRight w:val="0"/>
          <w:marTop w:val="0"/>
          <w:marBottom w:val="0"/>
          <w:divBdr>
            <w:top w:val="none" w:sz="0" w:space="0" w:color="auto"/>
            <w:left w:val="none" w:sz="0" w:space="0" w:color="auto"/>
            <w:bottom w:val="none" w:sz="0" w:space="0" w:color="auto"/>
            <w:right w:val="none" w:sz="0" w:space="0" w:color="auto"/>
          </w:divBdr>
        </w:div>
      </w:divsChild>
    </w:div>
    <w:div w:id="1789200000">
      <w:bodyDiv w:val="1"/>
      <w:marLeft w:val="0"/>
      <w:marRight w:val="0"/>
      <w:marTop w:val="0"/>
      <w:marBottom w:val="0"/>
      <w:divBdr>
        <w:top w:val="none" w:sz="0" w:space="0" w:color="auto"/>
        <w:left w:val="none" w:sz="0" w:space="0" w:color="auto"/>
        <w:bottom w:val="none" w:sz="0" w:space="0" w:color="auto"/>
        <w:right w:val="none" w:sz="0" w:space="0" w:color="auto"/>
      </w:divBdr>
      <w:divsChild>
        <w:div w:id="1067609544">
          <w:marLeft w:val="0"/>
          <w:marRight w:val="0"/>
          <w:marTop w:val="300"/>
          <w:marBottom w:val="0"/>
          <w:divBdr>
            <w:top w:val="none" w:sz="0" w:space="0" w:color="auto"/>
            <w:left w:val="none" w:sz="0" w:space="0" w:color="auto"/>
            <w:bottom w:val="single" w:sz="6" w:space="2" w:color="0662A2"/>
            <w:right w:val="none" w:sz="0" w:space="0" w:color="auto"/>
          </w:divBdr>
        </w:div>
        <w:div w:id="1196115172">
          <w:marLeft w:val="225"/>
          <w:marRight w:val="0"/>
          <w:marTop w:val="0"/>
          <w:marBottom w:val="0"/>
          <w:divBdr>
            <w:top w:val="none" w:sz="0" w:space="0" w:color="auto"/>
            <w:left w:val="none" w:sz="0" w:space="0" w:color="auto"/>
            <w:bottom w:val="none" w:sz="0" w:space="0" w:color="auto"/>
            <w:right w:val="none" w:sz="0" w:space="0" w:color="auto"/>
          </w:divBdr>
        </w:div>
      </w:divsChild>
    </w:div>
    <w:div w:id="1939829736">
      <w:bodyDiv w:val="1"/>
      <w:marLeft w:val="0"/>
      <w:marRight w:val="0"/>
      <w:marTop w:val="0"/>
      <w:marBottom w:val="0"/>
      <w:divBdr>
        <w:top w:val="none" w:sz="0" w:space="0" w:color="auto"/>
        <w:left w:val="none" w:sz="0" w:space="0" w:color="auto"/>
        <w:bottom w:val="none" w:sz="0" w:space="0" w:color="auto"/>
        <w:right w:val="none" w:sz="0" w:space="0" w:color="auto"/>
      </w:divBdr>
      <w:divsChild>
        <w:div w:id="62996478">
          <w:marLeft w:val="0"/>
          <w:marRight w:val="0"/>
          <w:marTop w:val="300"/>
          <w:marBottom w:val="0"/>
          <w:divBdr>
            <w:top w:val="none" w:sz="0" w:space="0" w:color="auto"/>
            <w:left w:val="none" w:sz="0" w:space="0" w:color="auto"/>
            <w:bottom w:val="single" w:sz="6" w:space="2" w:color="0662A2"/>
            <w:right w:val="none" w:sz="0" w:space="0" w:color="auto"/>
          </w:divBdr>
        </w:div>
        <w:div w:id="38094199">
          <w:marLeft w:val="225"/>
          <w:marRight w:val="0"/>
          <w:marTop w:val="0"/>
          <w:marBottom w:val="0"/>
          <w:divBdr>
            <w:top w:val="none" w:sz="0" w:space="0" w:color="auto"/>
            <w:left w:val="none" w:sz="0" w:space="0" w:color="auto"/>
            <w:bottom w:val="none" w:sz="0" w:space="0" w:color="auto"/>
            <w:right w:val="none" w:sz="0" w:space="0" w:color="auto"/>
          </w:divBdr>
        </w:div>
      </w:divsChild>
    </w:div>
    <w:div w:id="2052462616">
      <w:bodyDiv w:val="1"/>
      <w:marLeft w:val="0"/>
      <w:marRight w:val="0"/>
      <w:marTop w:val="0"/>
      <w:marBottom w:val="0"/>
      <w:divBdr>
        <w:top w:val="none" w:sz="0" w:space="0" w:color="auto"/>
        <w:left w:val="none" w:sz="0" w:space="0" w:color="auto"/>
        <w:bottom w:val="none" w:sz="0" w:space="0" w:color="auto"/>
        <w:right w:val="none" w:sz="0" w:space="0" w:color="auto"/>
      </w:divBdr>
      <w:divsChild>
        <w:div w:id="1212183567">
          <w:marLeft w:val="0"/>
          <w:marRight w:val="0"/>
          <w:marTop w:val="300"/>
          <w:marBottom w:val="0"/>
          <w:divBdr>
            <w:top w:val="none" w:sz="0" w:space="0" w:color="auto"/>
            <w:left w:val="none" w:sz="0" w:space="0" w:color="auto"/>
            <w:bottom w:val="single" w:sz="6" w:space="2" w:color="0662A2"/>
            <w:right w:val="none" w:sz="0" w:space="0" w:color="auto"/>
          </w:divBdr>
        </w:div>
        <w:div w:id="117575731">
          <w:marLeft w:val="225"/>
          <w:marRight w:val="0"/>
          <w:marTop w:val="0"/>
          <w:marBottom w:val="0"/>
          <w:divBdr>
            <w:top w:val="none" w:sz="0" w:space="0" w:color="auto"/>
            <w:left w:val="none" w:sz="0" w:space="0" w:color="auto"/>
            <w:bottom w:val="none" w:sz="0" w:space="0" w:color="auto"/>
            <w:right w:val="none" w:sz="0" w:space="0" w:color="auto"/>
          </w:divBdr>
        </w:div>
      </w:divsChild>
    </w:div>
    <w:div w:id="2094550793">
      <w:bodyDiv w:val="1"/>
      <w:marLeft w:val="0"/>
      <w:marRight w:val="0"/>
      <w:marTop w:val="0"/>
      <w:marBottom w:val="0"/>
      <w:divBdr>
        <w:top w:val="none" w:sz="0" w:space="0" w:color="auto"/>
        <w:left w:val="none" w:sz="0" w:space="0" w:color="auto"/>
        <w:bottom w:val="none" w:sz="0" w:space="0" w:color="auto"/>
        <w:right w:val="none" w:sz="0" w:space="0" w:color="auto"/>
      </w:divBdr>
      <w:divsChild>
        <w:div w:id="2080208808">
          <w:marLeft w:val="0"/>
          <w:marRight w:val="0"/>
          <w:marTop w:val="300"/>
          <w:marBottom w:val="0"/>
          <w:divBdr>
            <w:top w:val="none" w:sz="0" w:space="0" w:color="auto"/>
            <w:left w:val="none" w:sz="0" w:space="0" w:color="auto"/>
            <w:bottom w:val="single" w:sz="6" w:space="2" w:color="0662A2"/>
            <w:right w:val="none" w:sz="0" w:space="0" w:color="auto"/>
          </w:divBdr>
        </w:div>
        <w:div w:id="542908852">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s-appeals@civilservice.la.gov" TargetMode="External"/><Relationship Id="rId3" Type="http://schemas.openxmlformats.org/officeDocument/2006/relationships/styles" Target="styles.xml"/><Relationship Id="rId7" Type="http://schemas.openxmlformats.org/officeDocument/2006/relationships/hyperlink" Target="https://civilservice.louisiana.gov/Divisions/Appeals/DocsAndForms.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ivilservice.louisiana.gov/CSRules/Chapter13.aspx"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53CA8-F9DD-42DC-A3E4-A006636FC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2104</Words>
  <Characters>11996</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Marcelle DeSoto</dc:creator>
  <cp:keywords/>
  <dc:description/>
  <cp:lastModifiedBy>Marcelle DeSoto</cp:lastModifiedBy>
  <cp:revision>2</cp:revision>
  <dcterms:created xsi:type="dcterms:W3CDTF">2026-03-19T19:37:00Z</dcterms:created>
  <dcterms:modified xsi:type="dcterms:W3CDTF">2026-03-19T19:37:00Z</dcterms:modified>
</cp:coreProperties>
</file>